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60" w:lineRule="atLeast"/>
        <w:ind w:firstLine="1626" w:firstLineChars="450"/>
        <w:rPr>
          <w:rFonts w:ascii="宋体" w:hAnsi="宋体"/>
          <w:kern w:val="2"/>
          <w:sz w:val="36"/>
          <w:szCs w:val="36"/>
          <w:lang w:eastAsia="zh-CN"/>
        </w:rPr>
      </w:pPr>
      <w:bookmarkStart w:id="0" w:name="_Toc11641050"/>
      <w:bookmarkStart w:id="1" w:name="_Toc61171437"/>
      <w:bookmarkStart w:id="2" w:name="_Toc12789052"/>
      <w:bookmarkStart w:id="3" w:name="_Toc7339"/>
      <w:bookmarkStart w:id="4" w:name="_Toc6940"/>
      <w:r>
        <w:rPr>
          <w:rFonts w:hint="eastAsia" w:ascii="宋体" w:hAnsi="宋体"/>
          <w:kern w:val="2"/>
          <w:sz w:val="36"/>
          <w:szCs w:val="36"/>
          <w:lang w:eastAsia="zh-CN"/>
        </w:rPr>
        <w:t>奉节县人民医院比选邀请书</w:t>
      </w:r>
      <w:bookmarkEnd w:id="0"/>
      <w:bookmarkEnd w:id="1"/>
      <w:bookmarkEnd w:id="2"/>
    </w:p>
    <w:p>
      <w:pPr>
        <w:autoSpaceDE/>
        <w:autoSpaceDN/>
        <w:spacing w:line="460" w:lineRule="atLeast"/>
        <w:ind w:firstLine="480" w:firstLineChars="200"/>
        <w:rPr>
          <w:bCs/>
          <w:sz w:val="24"/>
          <w:szCs w:val="24"/>
          <w:lang w:eastAsia="zh-CN"/>
        </w:rPr>
      </w:pPr>
      <w:r>
        <w:rPr>
          <w:rFonts w:hint="eastAsia"/>
          <w:bCs/>
          <w:sz w:val="24"/>
          <w:szCs w:val="24"/>
          <w:lang w:eastAsia="zh-CN"/>
        </w:rPr>
        <w:t>本项目经奉节县人民医院党委会及院长办公会研究决定批准实施，对奉节县人民医院建设胸痛中心采购第三方服务公司项目进行院内比选采购，欢迎有资格的供应商前来参加比选。</w:t>
      </w:r>
    </w:p>
    <w:p>
      <w:pPr>
        <w:autoSpaceDE/>
        <w:autoSpaceDN/>
        <w:spacing w:line="460" w:lineRule="atLeast"/>
        <w:ind w:firstLine="480" w:firstLineChars="200"/>
        <w:rPr>
          <w:bCs/>
          <w:sz w:val="24"/>
          <w:szCs w:val="24"/>
          <w:lang w:eastAsia="zh-CN"/>
        </w:rPr>
      </w:pPr>
      <w:bookmarkStart w:id="5" w:name="_Toc61171438"/>
      <w:bookmarkStart w:id="6" w:name="_Toc470096075"/>
      <w:r>
        <w:rPr>
          <w:rFonts w:hint="eastAsia"/>
          <w:bCs/>
          <w:sz w:val="24"/>
          <w:szCs w:val="24"/>
          <w:lang w:eastAsia="zh-CN"/>
        </w:rPr>
        <w:t>一、</w:t>
      </w:r>
      <w:r>
        <w:rPr>
          <w:rFonts w:hint="eastAsia"/>
          <w:bCs/>
          <w:sz w:val="24"/>
          <w:szCs w:val="24"/>
          <w:lang w:val="en-US" w:eastAsia="zh-CN"/>
        </w:rPr>
        <w:t>比选</w:t>
      </w:r>
      <w:bookmarkStart w:id="19" w:name="_GoBack"/>
      <w:bookmarkEnd w:id="19"/>
      <w:r>
        <w:rPr>
          <w:rFonts w:hint="eastAsia"/>
          <w:bCs/>
          <w:sz w:val="24"/>
          <w:szCs w:val="24"/>
          <w:lang w:eastAsia="zh-CN"/>
        </w:rPr>
        <w:t>内容</w:t>
      </w:r>
      <w:bookmarkEnd w:id="5"/>
      <w:bookmarkEnd w:id="6"/>
    </w:p>
    <w:tbl>
      <w:tblPr>
        <w:tblStyle w:val="1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8"/>
        <w:gridCol w:w="1732"/>
        <w:gridCol w:w="1422"/>
        <w:gridCol w:w="1823"/>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3098" w:type="dxa"/>
            <w:vAlign w:val="center"/>
          </w:tcPr>
          <w:p>
            <w:pPr>
              <w:autoSpaceDE/>
              <w:autoSpaceDN/>
              <w:spacing w:line="460" w:lineRule="atLeast"/>
              <w:ind w:firstLine="480" w:firstLineChars="200"/>
              <w:rPr>
                <w:bCs/>
                <w:sz w:val="24"/>
                <w:szCs w:val="24"/>
                <w:lang w:eastAsia="zh-CN"/>
              </w:rPr>
            </w:pPr>
            <w:r>
              <w:rPr>
                <w:rFonts w:hint="eastAsia"/>
                <w:bCs/>
                <w:sz w:val="24"/>
                <w:szCs w:val="24"/>
                <w:lang w:eastAsia="zh-CN"/>
              </w:rPr>
              <w:t>项目名称</w:t>
            </w:r>
          </w:p>
        </w:tc>
        <w:tc>
          <w:tcPr>
            <w:tcW w:w="1732" w:type="dxa"/>
            <w:vAlign w:val="center"/>
          </w:tcPr>
          <w:p>
            <w:pPr>
              <w:autoSpaceDE/>
              <w:autoSpaceDN/>
              <w:spacing w:line="460" w:lineRule="atLeast"/>
              <w:ind w:firstLine="480" w:firstLineChars="200"/>
              <w:rPr>
                <w:bCs/>
                <w:sz w:val="24"/>
                <w:szCs w:val="24"/>
                <w:lang w:eastAsia="zh-CN"/>
              </w:rPr>
            </w:pPr>
            <w:r>
              <w:rPr>
                <w:rFonts w:hint="eastAsia"/>
                <w:bCs/>
                <w:sz w:val="24"/>
                <w:szCs w:val="24"/>
                <w:lang w:eastAsia="zh-CN"/>
              </w:rPr>
              <w:t>采购预算</w:t>
            </w:r>
          </w:p>
          <w:p>
            <w:pPr>
              <w:autoSpaceDE/>
              <w:autoSpaceDN/>
              <w:spacing w:line="460" w:lineRule="atLeast"/>
              <w:ind w:firstLine="480" w:firstLineChars="200"/>
              <w:rPr>
                <w:bCs/>
                <w:sz w:val="24"/>
                <w:szCs w:val="24"/>
                <w:lang w:eastAsia="zh-CN"/>
              </w:rPr>
            </w:pPr>
            <w:r>
              <w:rPr>
                <w:rFonts w:hint="eastAsia"/>
                <w:bCs/>
                <w:sz w:val="24"/>
                <w:szCs w:val="24"/>
                <w:lang w:eastAsia="zh-CN"/>
              </w:rPr>
              <w:t>（万元）</w:t>
            </w:r>
          </w:p>
        </w:tc>
        <w:tc>
          <w:tcPr>
            <w:tcW w:w="1422" w:type="dxa"/>
            <w:vAlign w:val="center"/>
          </w:tcPr>
          <w:p>
            <w:pPr>
              <w:autoSpaceDE/>
              <w:autoSpaceDN/>
              <w:spacing w:line="460" w:lineRule="atLeast"/>
              <w:ind w:firstLine="480" w:firstLineChars="200"/>
              <w:rPr>
                <w:bCs/>
                <w:sz w:val="24"/>
                <w:szCs w:val="24"/>
                <w:lang w:eastAsia="zh-CN"/>
              </w:rPr>
            </w:pPr>
            <w:r>
              <w:rPr>
                <w:rFonts w:hint="eastAsia"/>
                <w:bCs/>
                <w:sz w:val="24"/>
                <w:szCs w:val="24"/>
                <w:lang w:eastAsia="zh-CN"/>
              </w:rPr>
              <w:t>数量</w:t>
            </w:r>
          </w:p>
        </w:tc>
        <w:tc>
          <w:tcPr>
            <w:tcW w:w="1823" w:type="dxa"/>
            <w:vAlign w:val="center"/>
          </w:tcPr>
          <w:p>
            <w:pPr>
              <w:autoSpaceDE/>
              <w:autoSpaceDN/>
              <w:spacing w:line="460" w:lineRule="atLeast"/>
              <w:ind w:firstLine="480" w:firstLineChars="200"/>
              <w:rPr>
                <w:bCs/>
                <w:sz w:val="24"/>
                <w:szCs w:val="24"/>
                <w:lang w:eastAsia="zh-CN"/>
              </w:rPr>
            </w:pPr>
            <w:r>
              <w:rPr>
                <w:rFonts w:hint="eastAsia"/>
                <w:bCs/>
                <w:sz w:val="24"/>
                <w:szCs w:val="24"/>
                <w:lang w:eastAsia="zh-CN"/>
              </w:rPr>
              <w:t>保证金</w:t>
            </w:r>
          </w:p>
          <w:p>
            <w:pPr>
              <w:autoSpaceDE/>
              <w:autoSpaceDN/>
              <w:spacing w:line="460" w:lineRule="atLeast"/>
              <w:ind w:firstLine="480" w:firstLineChars="200"/>
              <w:rPr>
                <w:bCs/>
                <w:sz w:val="24"/>
                <w:szCs w:val="24"/>
                <w:lang w:eastAsia="zh-CN"/>
              </w:rPr>
            </w:pPr>
            <w:r>
              <w:rPr>
                <w:rFonts w:hint="eastAsia"/>
                <w:bCs/>
                <w:sz w:val="24"/>
                <w:szCs w:val="24"/>
                <w:lang w:eastAsia="zh-CN"/>
              </w:rPr>
              <w:t>（元）</w:t>
            </w:r>
          </w:p>
        </w:tc>
        <w:tc>
          <w:tcPr>
            <w:tcW w:w="1422" w:type="dxa"/>
            <w:vAlign w:val="center"/>
          </w:tcPr>
          <w:p>
            <w:pPr>
              <w:autoSpaceDE/>
              <w:autoSpaceDN/>
              <w:spacing w:line="460" w:lineRule="atLeast"/>
              <w:ind w:firstLine="480" w:firstLineChars="200"/>
              <w:rPr>
                <w:bCs/>
                <w:sz w:val="24"/>
                <w:szCs w:val="24"/>
                <w:lang w:eastAsia="zh-CN"/>
              </w:rPr>
            </w:pPr>
            <w:r>
              <w:rPr>
                <w:rFonts w:hint="eastAsia"/>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098" w:type="dxa"/>
            <w:vAlign w:val="center"/>
          </w:tcPr>
          <w:p>
            <w:pPr>
              <w:autoSpaceDE/>
              <w:autoSpaceDN/>
              <w:spacing w:line="460" w:lineRule="atLeast"/>
              <w:ind w:firstLine="480" w:firstLineChars="200"/>
              <w:rPr>
                <w:bCs/>
                <w:sz w:val="24"/>
                <w:szCs w:val="24"/>
                <w:lang w:eastAsia="zh-CN"/>
              </w:rPr>
            </w:pPr>
            <w:r>
              <w:rPr>
                <w:rFonts w:hint="eastAsia"/>
                <w:bCs/>
                <w:sz w:val="24"/>
                <w:szCs w:val="24"/>
                <w:lang w:eastAsia="zh-CN"/>
              </w:rPr>
              <w:t>奉节县人民医院胸痛中心建设购买服务</w:t>
            </w:r>
          </w:p>
        </w:tc>
        <w:tc>
          <w:tcPr>
            <w:tcW w:w="1732" w:type="dxa"/>
            <w:vAlign w:val="center"/>
          </w:tcPr>
          <w:p>
            <w:pPr>
              <w:autoSpaceDE/>
              <w:autoSpaceDN/>
              <w:spacing w:line="460" w:lineRule="atLeast"/>
              <w:ind w:firstLine="600" w:firstLineChars="250"/>
              <w:rPr>
                <w:bCs/>
                <w:sz w:val="24"/>
                <w:szCs w:val="24"/>
                <w:lang w:eastAsia="zh-CN"/>
              </w:rPr>
            </w:pPr>
            <w:r>
              <w:rPr>
                <w:rFonts w:hint="eastAsia"/>
                <w:bCs/>
                <w:sz w:val="24"/>
                <w:szCs w:val="24"/>
                <w:lang w:eastAsia="zh-CN"/>
              </w:rPr>
              <w:t>30</w:t>
            </w:r>
          </w:p>
        </w:tc>
        <w:tc>
          <w:tcPr>
            <w:tcW w:w="1422" w:type="dxa"/>
            <w:vAlign w:val="center"/>
          </w:tcPr>
          <w:p>
            <w:pPr>
              <w:autoSpaceDE/>
              <w:autoSpaceDN/>
              <w:spacing w:line="460" w:lineRule="atLeast"/>
              <w:ind w:firstLine="480" w:firstLineChars="200"/>
              <w:rPr>
                <w:bCs/>
                <w:sz w:val="24"/>
                <w:szCs w:val="24"/>
                <w:lang w:eastAsia="zh-CN"/>
              </w:rPr>
            </w:pPr>
            <w:r>
              <w:rPr>
                <w:rFonts w:hint="eastAsia"/>
                <w:bCs/>
                <w:sz w:val="24"/>
                <w:szCs w:val="24"/>
                <w:lang w:eastAsia="zh-CN"/>
              </w:rPr>
              <w:t>1</w:t>
            </w:r>
          </w:p>
        </w:tc>
        <w:tc>
          <w:tcPr>
            <w:tcW w:w="1823" w:type="dxa"/>
            <w:vAlign w:val="center"/>
          </w:tcPr>
          <w:p>
            <w:pPr>
              <w:autoSpaceDE/>
              <w:autoSpaceDN/>
              <w:spacing w:line="460" w:lineRule="atLeast"/>
              <w:ind w:firstLine="480" w:firstLineChars="200"/>
              <w:rPr>
                <w:bCs/>
                <w:sz w:val="24"/>
                <w:szCs w:val="24"/>
                <w:lang w:eastAsia="zh-CN"/>
              </w:rPr>
            </w:pPr>
            <w:r>
              <w:rPr>
                <w:rFonts w:hint="eastAsia"/>
                <w:bCs/>
                <w:sz w:val="24"/>
                <w:szCs w:val="24"/>
                <w:lang w:eastAsia="zh-CN"/>
              </w:rPr>
              <w:t>无</w:t>
            </w:r>
          </w:p>
        </w:tc>
        <w:tc>
          <w:tcPr>
            <w:tcW w:w="1422" w:type="dxa"/>
            <w:vAlign w:val="center"/>
          </w:tcPr>
          <w:p>
            <w:pPr>
              <w:autoSpaceDE/>
              <w:autoSpaceDN/>
              <w:spacing w:line="460" w:lineRule="atLeast"/>
              <w:ind w:firstLine="480" w:firstLineChars="200"/>
              <w:rPr>
                <w:bCs/>
                <w:sz w:val="24"/>
                <w:szCs w:val="24"/>
                <w:lang w:eastAsia="zh-CN"/>
              </w:rPr>
            </w:pPr>
          </w:p>
        </w:tc>
      </w:tr>
    </w:tbl>
    <w:p>
      <w:pPr>
        <w:autoSpaceDE/>
        <w:autoSpaceDN/>
        <w:spacing w:line="460" w:lineRule="atLeast"/>
        <w:ind w:firstLine="480" w:firstLineChars="200"/>
        <w:rPr>
          <w:bCs/>
          <w:sz w:val="24"/>
          <w:szCs w:val="24"/>
          <w:lang w:eastAsia="zh-CN"/>
        </w:rPr>
      </w:pPr>
      <w:r>
        <w:rPr>
          <w:rFonts w:hint="eastAsia"/>
          <w:bCs/>
          <w:sz w:val="24"/>
          <w:szCs w:val="24"/>
          <w:lang w:eastAsia="zh-CN"/>
        </w:rPr>
        <w:t>二、资金来源</w:t>
      </w:r>
    </w:p>
    <w:p>
      <w:pPr>
        <w:autoSpaceDE/>
        <w:autoSpaceDN/>
        <w:spacing w:line="460" w:lineRule="atLeast"/>
        <w:ind w:firstLine="480" w:firstLineChars="200"/>
        <w:rPr>
          <w:bCs/>
          <w:sz w:val="24"/>
          <w:szCs w:val="24"/>
          <w:lang w:eastAsia="zh-CN"/>
        </w:rPr>
      </w:pPr>
      <w:r>
        <w:rPr>
          <w:rFonts w:hint="eastAsia"/>
          <w:bCs/>
          <w:sz w:val="24"/>
          <w:szCs w:val="24"/>
          <w:lang w:eastAsia="zh-CN"/>
        </w:rPr>
        <w:t>单位自筹资金。</w:t>
      </w:r>
    </w:p>
    <w:p>
      <w:pPr>
        <w:autoSpaceDE/>
        <w:autoSpaceDN/>
        <w:spacing w:line="460" w:lineRule="atLeast"/>
        <w:ind w:firstLine="480" w:firstLineChars="200"/>
        <w:rPr>
          <w:bCs/>
          <w:sz w:val="24"/>
          <w:szCs w:val="24"/>
          <w:lang w:eastAsia="zh-CN"/>
        </w:rPr>
      </w:pPr>
      <w:bookmarkStart w:id="7" w:name="_Toc61171440"/>
      <w:bookmarkStart w:id="8" w:name="_Toc470096077"/>
      <w:r>
        <w:rPr>
          <w:rFonts w:hint="eastAsia"/>
          <w:bCs/>
          <w:sz w:val="24"/>
          <w:szCs w:val="24"/>
          <w:lang w:eastAsia="zh-CN"/>
        </w:rPr>
        <w:t>三、谈判资格</w:t>
      </w:r>
      <w:bookmarkEnd w:id="7"/>
      <w:bookmarkEnd w:id="8"/>
    </w:p>
    <w:p>
      <w:pPr>
        <w:autoSpaceDE/>
        <w:autoSpaceDN/>
        <w:spacing w:line="460" w:lineRule="atLeast"/>
        <w:ind w:firstLine="480" w:firstLineChars="200"/>
        <w:rPr>
          <w:bCs/>
          <w:sz w:val="24"/>
          <w:szCs w:val="24"/>
          <w:lang w:eastAsia="zh-CN"/>
        </w:rPr>
      </w:pPr>
      <w:r>
        <w:rPr>
          <w:rFonts w:hint="eastAsia"/>
          <w:bCs/>
          <w:sz w:val="24"/>
          <w:szCs w:val="24"/>
          <w:lang w:eastAsia="zh-CN"/>
        </w:rPr>
        <w:t>合格的供应商应符合政府采购法第二十二条规定的基本条件。</w:t>
      </w:r>
    </w:p>
    <w:p>
      <w:pPr>
        <w:autoSpaceDE/>
        <w:autoSpaceDN/>
        <w:spacing w:line="460" w:lineRule="atLeast"/>
        <w:ind w:firstLine="480" w:firstLineChars="200"/>
        <w:rPr>
          <w:bCs/>
          <w:sz w:val="24"/>
          <w:szCs w:val="24"/>
          <w:lang w:eastAsia="zh-CN"/>
        </w:rPr>
      </w:pPr>
      <w:r>
        <w:rPr>
          <w:rFonts w:hint="eastAsia"/>
          <w:bCs/>
          <w:sz w:val="24"/>
          <w:szCs w:val="24"/>
          <w:lang w:eastAsia="zh-CN"/>
        </w:rPr>
        <w:t>（一）基本资格条件</w:t>
      </w:r>
    </w:p>
    <w:p>
      <w:pPr>
        <w:autoSpaceDE/>
        <w:autoSpaceDN/>
        <w:spacing w:line="460" w:lineRule="atLeast"/>
        <w:ind w:firstLine="480" w:firstLineChars="200"/>
        <w:rPr>
          <w:bCs/>
          <w:sz w:val="24"/>
          <w:szCs w:val="24"/>
          <w:lang w:eastAsia="zh-CN"/>
        </w:rPr>
      </w:pPr>
      <w:r>
        <w:rPr>
          <w:rFonts w:hint="eastAsia"/>
          <w:bCs/>
          <w:sz w:val="24"/>
          <w:szCs w:val="24"/>
          <w:lang w:eastAsia="zh-CN"/>
        </w:rPr>
        <w:t>1、具有独立承担民事责任的能力；</w:t>
      </w:r>
    </w:p>
    <w:p>
      <w:pPr>
        <w:autoSpaceDE/>
        <w:autoSpaceDN/>
        <w:spacing w:line="460" w:lineRule="atLeast"/>
        <w:ind w:firstLine="480" w:firstLineChars="200"/>
        <w:rPr>
          <w:bCs/>
          <w:sz w:val="24"/>
          <w:szCs w:val="24"/>
          <w:lang w:eastAsia="zh-CN"/>
        </w:rPr>
      </w:pPr>
      <w:r>
        <w:rPr>
          <w:rFonts w:hint="eastAsia"/>
          <w:bCs/>
          <w:sz w:val="24"/>
          <w:szCs w:val="24"/>
          <w:lang w:eastAsia="zh-CN"/>
        </w:rPr>
        <w:t>2、具有良好的商业信誉和健全的财务会计制度；</w:t>
      </w:r>
    </w:p>
    <w:p>
      <w:pPr>
        <w:autoSpaceDE/>
        <w:autoSpaceDN/>
        <w:spacing w:line="460" w:lineRule="atLeast"/>
        <w:ind w:firstLine="480" w:firstLineChars="200"/>
        <w:rPr>
          <w:bCs/>
          <w:sz w:val="24"/>
          <w:szCs w:val="24"/>
          <w:lang w:eastAsia="zh-CN"/>
        </w:rPr>
      </w:pPr>
      <w:r>
        <w:rPr>
          <w:rFonts w:hint="eastAsia"/>
          <w:bCs/>
          <w:sz w:val="24"/>
          <w:szCs w:val="24"/>
          <w:lang w:eastAsia="zh-CN"/>
        </w:rPr>
        <w:t>3、具有履行合同所必需的设备和专业技术能力；</w:t>
      </w:r>
    </w:p>
    <w:p>
      <w:pPr>
        <w:autoSpaceDE/>
        <w:autoSpaceDN/>
        <w:spacing w:line="460" w:lineRule="atLeast"/>
        <w:ind w:firstLine="480" w:firstLineChars="200"/>
        <w:rPr>
          <w:bCs/>
          <w:sz w:val="24"/>
          <w:szCs w:val="24"/>
          <w:lang w:eastAsia="zh-CN"/>
        </w:rPr>
      </w:pPr>
      <w:r>
        <w:rPr>
          <w:rFonts w:hint="eastAsia"/>
          <w:bCs/>
          <w:sz w:val="24"/>
          <w:szCs w:val="24"/>
          <w:lang w:eastAsia="zh-CN"/>
        </w:rPr>
        <w:t>4、有依法缴纳税收的良好记录；</w:t>
      </w:r>
    </w:p>
    <w:p>
      <w:pPr>
        <w:autoSpaceDE/>
        <w:autoSpaceDN/>
        <w:spacing w:line="460" w:lineRule="atLeast"/>
        <w:ind w:firstLine="480" w:firstLineChars="200"/>
        <w:rPr>
          <w:bCs/>
          <w:sz w:val="24"/>
          <w:szCs w:val="24"/>
          <w:lang w:eastAsia="zh-CN"/>
        </w:rPr>
      </w:pPr>
      <w:r>
        <w:rPr>
          <w:rFonts w:hint="eastAsia"/>
          <w:bCs/>
          <w:sz w:val="24"/>
          <w:szCs w:val="24"/>
          <w:lang w:eastAsia="zh-CN"/>
        </w:rPr>
        <w:t>5、参加政府采购活动前三年内，在经营活动中没有重大违法记录;</w:t>
      </w:r>
    </w:p>
    <w:p>
      <w:pPr>
        <w:autoSpaceDE/>
        <w:autoSpaceDN/>
        <w:spacing w:line="460" w:lineRule="atLeast"/>
        <w:ind w:firstLine="480" w:firstLineChars="200"/>
        <w:rPr>
          <w:bCs/>
          <w:sz w:val="24"/>
          <w:szCs w:val="24"/>
          <w:lang w:eastAsia="zh-CN"/>
        </w:rPr>
      </w:pPr>
      <w:r>
        <w:rPr>
          <w:rFonts w:hint="eastAsia"/>
          <w:bCs/>
          <w:sz w:val="24"/>
          <w:szCs w:val="24"/>
          <w:lang w:eastAsia="zh-CN"/>
        </w:rPr>
        <w:t>6、法律、行政法规规定的其他条件。</w:t>
      </w:r>
    </w:p>
    <w:p>
      <w:pPr>
        <w:autoSpaceDE/>
        <w:autoSpaceDN/>
        <w:spacing w:line="460" w:lineRule="atLeast"/>
        <w:ind w:firstLine="480" w:firstLineChars="200"/>
        <w:rPr>
          <w:bCs/>
          <w:sz w:val="24"/>
          <w:szCs w:val="24"/>
          <w:lang w:eastAsia="zh-CN"/>
        </w:rPr>
      </w:pPr>
      <w:bookmarkStart w:id="9" w:name="_Toc473986735"/>
      <w:bookmarkStart w:id="10" w:name="_Toc61171441"/>
      <w:r>
        <w:rPr>
          <w:rFonts w:hint="eastAsia"/>
          <w:bCs/>
          <w:sz w:val="24"/>
          <w:szCs w:val="24"/>
          <w:lang w:eastAsia="zh-CN"/>
        </w:rPr>
        <w:t>四、比选有关说明</w:t>
      </w:r>
      <w:bookmarkEnd w:id="9"/>
      <w:bookmarkEnd w:id="10"/>
    </w:p>
    <w:p>
      <w:pPr>
        <w:autoSpaceDE/>
        <w:autoSpaceDN/>
        <w:spacing w:line="460" w:lineRule="atLeast"/>
        <w:ind w:firstLine="480" w:firstLineChars="200"/>
        <w:rPr>
          <w:bCs/>
          <w:sz w:val="24"/>
          <w:szCs w:val="24"/>
          <w:lang w:eastAsia="zh-CN"/>
        </w:rPr>
      </w:pPr>
      <w:r>
        <w:rPr>
          <w:rFonts w:hint="eastAsia"/>
          <w:bCs/>
          <w:sz w:val="24"/>
          <w:szCs w:val="24"/>
          <w:lang w:eastAsia="zh-CN"/>
        </w:rPr>
        <w:t>（一）凡有意参加比选的供应商，请于公告发布之日（2022年3月10日）起至递交截止时间之前，到奉节县人民医院招标采购办公室领取本项目比选文件以及图纸、补遗等比选前公布的所有项目资料，无论供应商领取或下载与否，均视为已知晓所有比选实质性要求内容。</w:t>
      </w:r>
    </w:p>
    <w:p>
      <w:pPr>
        <w:autoSpaceDE/>
        <w:autoSpaceDN/>
        <w:spacing w:line="460" w:lineRule="atLeast"/>
        <w:ind w:firstLine="480" w:firstLineChars="200"/>
        <w:rPr>
          <w:bCs/>
          <w:sz w:val="24"/>
          <w:szCs w:val="24"/>
          <w:lang w:eastAsia="zh-CN"/>
        </w:rPr>
      </w:pPr>
      <w:r>
        <w:rPr>
          <w:rFonts w:hint="eastAsia"/>
          <w:bCs/>
          <w:sz w:val="24"/>
          <w:szCs w:val="24"/>
          <w:lang w:eastAsia="zh-CN"/>
        </w:rPr>
        <w:t>（二）比选公告期限：自采购公告发布之日（2022年3月 3日）起五个工作日。</w:t>
      </w:r>
    </w:p>
    <w:p>
      <w:pPr>
        <w:autoSpaceDE/>
        <w:autoSpaceDN/>
        <w:spacing w:line="460" w:lineRule="atLeast"/>
        <w:ind w:firstLine="480" w:firstLineChars="200"/>
        <w:rPr>
          <w:bCs/>
          <w:sz w:val="24"/>
          <w:szCs w:val="24"/>
          <w:lang w:eastAsia="zh-CN"/>
        </w:rPr>
      </w:pPr>
      <w:r>
        <w:rPr>
          <w:rFonts w:hint="eastAsia"/>
          <w:bCs/>
          <w:sz w:val="24"/>
          <w:szCs w:val="24"/>
          <w:lang w:eastAsia="zh-CN"/>
        </w:rPr>
        <w:t>（三）供应商须满足以下二种要件，其响应文件才被接受：</w:t>
      </w:r>
    </w:p>
    <w:p>
      <w:pPr>
        <w:autoSpaceDE/>
        <w:autoSpaceDN/>
        <w:spacing w:line="460" w:lineRule="atLeast"/>
        <w:ind w:firstLine="480" w:firstLineChars="200"/>
        <w:rPr>
          <w:bCs/>
          <w:sz w:val="24"/>
          <w:szCs w:val="24"/>
          <w:lang w:eastAsia="zh-CN"/>
        </w:rPr>
      </w:pPr>
      <w:r>
        <w:rPr>
          <w:rFonts w:hint="eastAsia"/>
          <w:bCs/>
          <w:sz w:val="24"/>
          <w:szCs w:val="24"/>
          <w:lang w:eastAsia="zh-CN"/>
        </w:rPr>
        <w:t>1、按时递交了响应文件；</w:t>
      </w:r>
    </w:p>
    <w:p>
      <w:pPr>
        <w:autoSpaceDE/>
        <w:autoSpaceDN/>
        <w:spacing w:line="460" w:lineRule="atLeast"/>
        <w:ind w:firstLine="480" w:firstLineChars="200"/>
        <w:rPr>
          <w:bCs/>
          <w:sz w:val="24"/>
          <w:szCs w:val="24"/>
          <w:lang w:eastAsia="zh-CN"/>
        </w:rPr>
      </w:pPr>
      <w:r>
        <w:rPr>
          <w:rFonts w:hint="eastAsia"/>
          <w:bCs/>
          <w:sz w:val="24"/>
          <w:szCs w:val="24"/>
          <w:lang w:eastAsia="zh-CN"/>
        </w:rPr>
        <w:t>2、按时报名签到。</w:t>
      </w:r>
      <w:r>
        <w:rPr>
          <w:bCs/>
          <w:sz w:val="24"/>
          <w:szCs w:val="24"/>
          <w:lang w:eastAsia="zh-CN"/>
        </w:rPr>
        <w:tab/>
      </w:r>
    </w:p>
    <w:p>
      <w:pPr>
        <w:autoSpaceDE/>
        <w:autoSpaceDN/>
        <w:spacing w:line="460" w:lineRule="atLeast"/>
        <w:ind w:firstLine="480" w:firstLineChars="200"/>
        <w:rPr>
          <w:bCs/>
          <w:sz w:val="24"/>
          <w:szCs w:val="24"/>
          <w:lang w:eastAsia="zh-CN"/>
        </w:rPr>
      </w:pPr>
      <w:r>
        <w:rPr>
          <w:rFonts w:hint="eastAsia"/>
          <w:bCs/>
          <w:sz w:val="24"/>
          <w:szCs w:val="24"/>
          <w:lang w:eastAsia="zh-CN"/>
        </w:rPr>
        <w:t>（四）比选地点：奉节县人民医院小会议室（奉节县鱼复社区康宁街2号）</w:t>
      </w:r>
    </w:p>
    <w:p>
      <w:pPr>
        <w:autoSpaceDE/>
        <w:autoSpaceDN/>
        <w:spacing w:line="460" w:lineRule="atLeast"/>
        <w:ind w:firstLine="480" w:firstLineChars="200"/>
        <w:rPr>
          <w:bCs/>
          <w:sz w:val="24"/>
          <w:szCs w:val="24"/>
          <w:lang w:eastAsia="zh-CN"/>
        </w:rPr>
      </w:pPr>
      <w:r>
        <w:rPr>
          <w:rFonts w:hint="eastAsia"/>
          <w:bCs/>
          <w:sz w:val="24"/>
          <w:szCs w:val="24"/>
          <w:lang w:eastAsia="zh-CN"/>
        </w:rPr>
        <w:t>（五）提交响应文件截止时间：2022年3月10日北京时间12:00。</w:t>
      </w:r>
    </w:p>
    <w:p>
      <w:pPr>
        <w:autoSpaceDE/>
        <w:autoSpaceDN/>
        <w:spacing w:line="460" w:lineRule="atLeast"/>
        <w:ind w:firstLine="480" w:firstLineChars="200"/>
        <w:rPr>
          <w:bCs/>
          <w:sz w:val="24"/>
          <w:szCs w:val="24"/>
          <w:lang w:eastAsia="zh-CN"/>
        </w:rPr>
      </w:pPr>
      <w:r>
        <w:rPr>
          <w:rFonts w:hint="eastAsia"/>
          <w:bCs/>
          <w:sz w:val="24"/>
          <w:szCs w:val="24"/>
          <w:lang w:eastAsia="zh-CN"/>
        </w:rPr>
        <w:t>（六）比选时间：2022年3月10日北京时间14:35。</w:t>
      </w:r>
    </w:p>
    <w:p>
      <w:pPr>
        <w:autoSpaceDE/>
        <w:autoSpaceDN/>
        <w:spacing w:line="460" w:lineRule="atLeast"/>
        <w:ind w:firstLine="480" w:firstLineChars="200"/>
        <w:rPr>
          <w:bCs/>
          <w:sz w:val="24"/>
          <w:szCs w:val="24"/>
          <w:lang w:eastAsia="zh-CN"/>
        </w:rPr>
      </w:pPr>
      <w:bookmarkStart w:id="11" w:name="_Toc61171443"/>
      <w:bookmarkStart w:id="12" w:name="_Toc473986737"/>
      <w:r>
        <w:rPr>
          <w:rFonts w:hint="eastAsia"/>
          <w:bCs/>
          <w:sz w:val="24"/>
          <w:szCs w:val="24"/>
          <w:lang w:eastAsia="zh-CN"/>
        </w:rPr>
        <w:t>五、其他有关规定</w:t>
      </w:r>
      <w:bookmarkEnd w:id="11"/>
      <w:bookmarkEnd w:id="12"/>
    </w:p>
    <w:p>
      <w:pPr>
        <w:autoSpaceDE/>
        <w:autoSpaceDN/>
        <w:spacing w:line="460" w:lineRule="atLeast"/>
        <w:ind w:firstLine="480" w:firstLineChars="200"/>
        <w:rPr>
          <w:bCs/>
          <w:sz w:val="24"/>
          <w:szCs w:val="24"/>
          <w:lang w:eastAsia="zh-CN"/>
        </w:rPr>
      </w:pPr>
      <w:r>
        <w:rPr>
          <w:rFonts w:hint="eastAsia"/>
          <w:bCs/>
          <w:sz w:val="24"/>
          <w:szCs w:val="24"/>
          <w:lang w:eastAsia="zh-CN"/>
        </w:rPr>
        <w:t>（一）</w:t>
      </w:r>
      <w:r>
        <w:rPr>
          <w:bCs/>
          <w:sz w:val="24"/>
          <w:szCs w:val="24"/>
          <w:lang w:eastAsia="zh-CN"/>
        </w:rPr>
        <w:t>单位负责人为同一人或者存在直接控股、管理关系的不同供应商，不得参加同一合同项</w:t>
      </w:r>
      <w:r>
        <w:rPr>
          <w:rFonts w:hint="eastAsia"/>
          <w:bCs/>
          <w:sz w:val="24"/>
          <w:szCs w:val="24"/>
          <w:lang w:eastAsia="zh-CN"/>
        </w:rPr>
        <w:t>（分包）</w:t>
      </w:r>
      <w:r>
        <w:rPr>
          <w:bCs/>
          <w:sz w:val="24"/>
          <w:szCs w:val="24"/>
          <w:lang w:eastAsia="zh-CN"/>
        </w:rPr>
        <w:t>下的采购活动</w:t>
      </w:r>
      <w:r>
        <w:rPr>
          <w:rFonts w:hint="eastAsia"/>
          <w:bCs/>
          <w:sz w:val="24"/>
          <w:szCs w:val="24"/>
          <w:lang w:eastAsia="zh-CN"/>
        </w:rPr>
        <w:t>，否则均为无效比选。</w:t>
      </w:r>
    </w:p>
    <w:p>
      <w:pPr>
        <w:autoSpaceDE/>
        <w:autoSpaceDN/>
        <w:spacing w:line="460" w:lineRule="atLeast"/>
        <w:ind w:firstLine="480" w:firstLineChars="200"/>
        <w:rPr>
          <w:bCs/>
          <w:sz w:val="24"/>
          <w:szCs w:val="24"/>
          <w:lang w:eastAsia="zh-CN"/>
        </w:rPr>
      </w:pPr>
      <w:r>
        <w:rPr>
          <w:rFonts w:hint="eastAsia"/>
          <w:bCs/>
          <w:sz w:val="24"/>
          <w:szCs w:val="24"/>
          <w:lang w:eastAsia="zh-CN"/>
        </w:rPr>
        <w:t>（二）</w:t>
      </w:r>
      <w:r>
        <w:rPr>
          <w:bCs/>
          <w:sz w:val="24"/>
          <w:szCs w:val="24"/>
          <w:lang w:eastAsia="zh-CN"/>
        </w:rPr>
        <w:t>为采购项目提供整体设计、规范编制或者项目管理、监理、检测等服务的供应商，不得再参加</w:t>
      </w:r>
      <w:r>
        <w:rPr>
          <w:rFonts w:hint="eastAsia"/>
          <w:bCs/>
          <w:sz w:val="24"/>
          <w:szCs w:val="24"/>
          <w:lang w:eastAsia="zh-CN"/>
        </w:rPr>
        <w:t>该采购</w:t>
      </w:r>
      <w:r>
        <w:rPr>
          <w:bCs/>
          <w:sz w:val="24"/>
          <w:szCs w:val="24"/>
          <w:lang w:eastAsia="zh-CN"/>
        </w:rPr>
        <w:t>项目的</w:t>
      </w:r>
      <w:r>
        <w:rPr>
          <w:rFonts w:hint="eastAsia"/>
          <w:bCs/>
          <w:sz w:val="24"/>
          <w:szCs w:val="24"/>
          <w:lang w:eastAsia="zh-CN"/>
        </w:rPr>
        <w:t>其他</w:t>
      </w:r>
      <w:r>
        <w:rPr>
          <w:bCs/>
          <w:sz w:val="24"/>
          <w:szCs w:val="24"/>
          <w:lang w:eastAsia="zh-CN"/>
        </w:rPr>
        <w:t>采购活动。</w:t>
      </w:r>
    </w:p>
    <w:p>
      <w:pPr>
        <w:autoSpaceDE/>
        <w:autoSpaceDN/>
        <w:spacing w:line="460" w:lineRule="atLeast"/>
        <w:ind w:firstLine="480" w:firstLineChars="200"/>
        <w:rPr>
          <w:bCs/>
          <w:sz w:val="24"/>
          <w:szCs w:val="24"/>
          <w:lang w:eastAsia="zh-CN"/>
        </w:rPr>
      </w:pPr>
      <w:r>
        <w:rPr>
          <w:rFonts w:hint="eastAsia"/>
          <w:bCs/>
          <w:sz w:val="24"/>
          <w:szCs w:val="24"/>
          <w:lang w:eastAsia="zh-CN"/>
        </w:rPr>
        <w:t>（三）同一</w:t>
      </w:r>
      <w:r>
        <w:rPr>
          <w:bCs/>
          <w:sz w:val="24"/>
          <w:szCs w:val="24"/>
          <w:lang w:eastAsia="zh-CN"/>
        </w:rPr>
        <w:t>合同项</w:t>
      </w:r>
      <w:r>
        <w:rPr>
          <w:rFonts w:hint="eastAsia"/>
          <w:bCs/>
          <w:sz w:val="24"/>
          <w:szCs w:val="24"/>
          <w:lang w:eastAsia="zh-CN"/>
        </w:rPr>
        <w:t>（分包）</w:t>
      </w:r>
      <w:r>
        <w:rPr>
          <w:bCs/>
          <w:sz w:val="24"/>
          <w:szCs w:val="24"/>
          <w:lang w:eastAsia="zh-CN"/>
        </w:rPr>
        <w:t>下</w:t>
      </w:r>
      <w:r>
        <w:rPr>
          <w:rFonts w:hint="eastAsia"/>
          <w:bCs/>
          <w:sz w:val="24"/>
          <w:szCs w:val="24"/>
          <w:lang w:eastAsia="zh-CN"/>
        </w:rPr>
        <w:t>的货物，制造商参与比选的，不得再委托代理商参与比选。</w:t>
      </w:r>
    </w:p>
    <w:p>
      <w:pPr>
        <w:autoSpaceDE/>
        <w:autoSpaceDN/>
        <w:spacing w:line="460" w:lineRule="atLeast"/>
        <w:ind w:firstLine="480" w:firstLineChars="200"/>
        <w:rPr>
          <w:bCs/>
          <w:sz w:val="24"/>
          <w:szCs w:val="24"/>
          <w:lang w:eastAsia="zh-CN"/>
        </w:rPr>
      </w:pPr>
      <w:r>
        <w:rPr>
          <w:rFonts w:hint="eastAsia"/>
          <w:bCs/>
          <w:sz w:val="24"/>
          <w:szCs w:val="24"/>
          <w:lang w:eastAsia="zh-CN"/>
        </w:rPr>
        <w:t>（四）本项目所有澄清或者修改文件（如果有）一律在奉节县人民医院招标采购办公室领取。无论供应商领取与否，均视同供应商已知晓本项目所有澄清或者修改文件（如果有）的内容</w:t>
      </w:r>
      <w:r>
        <w:rPr>
          <w:bCs/>
          <w:sz w:val="24"/>
          <w:szCs w:val="24"/>
          <w:lang w:eastAsia="zh-CN"/>
        </w:rPr>
        <w:t>。</w:t>
      </w:r>
    </w:p>
    <w:p>
      <w:pPr>
        <w:autoSpaceDE/>
        <w:autoSpaceDN/>
        <w:spacing w:line="460" w:lineRule="atLeast"/>
        <w:ind w:firstLine="480" w:firstLineChars="200"/>
        <w:rPr>
          <w:bCs/>
          <w:sz w:val="24"/>
          <w:szCs w:val="24"/>
          <w:lang w:eastAsia="zh-CN"/>
        </w:rPr>
      </w:pPr>
      <w:r>
        <w:rPr>
          <w:rFonts w:hint="eastAsia"/>
          <w:bCs/>
          <w:sz w:val="24"/>
          <w:szCs w:val="24"/>
          <w:lang w:eastAsia="zh-CN"/>
        </w:rPr>
        <w:t>（五）超过响应文件截止时间递交的响应文件，恕不接收。</w:t>
      </w:r>
    </w:p>
    <w:p>
      <w:pPr>
        <w:autoSpaceDE/>
        <w:autoSpaceDN/>
        <w:spacing w:line="460" w:lineRule="atLeast"/>
        <w:ind w:firstLine="480" w:firstLineChars="200"/>
        <w:rPr>
          <w:bCs/>
          <w:sz w:val="24"/>
          <w:szCs w:val="24"/>
          <w:lang w:eastAsia="zh-CN"/>
        </w:rPr>
      </w:pPr>
      <w:r>
        <w:rPr>
          <w:rFonts w:hint="eastAsia"/>
          <w:bCs/>
          <w:sz w:val="24"/>
          <w:szCs w:val="24"/>
          <w:lang w:eastAsia="zh-CN"/>
        </w:rPr>
        <w:t>（六）比选费用：无论谈判结果如何，供应商参与本项目比选的所有费用均应由供应商自行承担。</w:t>
      </w:r>
    </w:p>
    <w:p>
      <w:pPr>
        <w:autoSpaceDE/>
        <w:autoSpaceDN/>
        <w:spacing w:line="460" w:lineRule="atLeast"/>
        <w:ind w:firstLine="480" w:firstLineChars="200"/>
        <w:rPr>
          <w:bCs/>
          <w:sz w:val="24"/>
          <w:szCs w:val="24"/>
          <w:lang w:eastAsia="zh-CN"/>
        </w:rPr>
      </w:pPr>
      <w:r>
        <w:rPr>
          <w:rFonts w:hint="eastAsia"/>
          <w:bCs/>
          <w:sz w:val="24"/>
          <w:szCs w:val="24"/>
          <w:lang w:eastAsia="zh-CN"/>
        </w:rPr>
        <w:t>（七）本项目不接受联合体参与比选。</w:t>
      </w:r>
    </w:p>
    <w:p>
      <w:pPr>
        <w:autoSpaceDE/>
        <w:autoSpaceDN/>
        <w:spacing w:line="460" w:lineRule="atLeast"/>
        <w:ind w:firstLine="480" w:firstLineChars="200"/>
        <w:rPr>
          <w:bCs/>
          <w:sz w:val="24"/>
          <w:szCs w:val="24"/>
          <w:lang w:eastAsia="zh-CN"/>
        </w:rPr>
      </w:pPr>
      <w:r>
        <w:rPr>
          <w:rFonts w:hint="eastAsia"/>
          <w:bCs/>
          <w:sz w:val="24"/>
          <w:szCs w:val="24"/>
          <w:lang w:eastAsia="zh-CN"/>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autoSpaceDE/>
        <w:autoSpaceDN/>
        <w:spacing w:line="460" w:lineRule="atLeast"/>
        <w:ind w:firstLine="480" w:firstLineChars="200"/>
        <w:rPr>
          <w:bCs/>
          <w:sz w:val="24"/>
          <w:szCs w:val="24"/>
          <w:lang w:eastAsia="zh-CN"/>
        </w:rPr>
      </w:pPr>
      <w:bookmarkStart w:id="13" w:name="_Toc61171444"/>
      <w:bookmarkStart w:id="14" w:name="_Toc473986738"/>
      <w:r>
        <w:rPr>
          <w:rFonts w:hint="eastAsia"/>
          <w:bCs/>
          <w:sz w:val="24"/>
          <w:szCs w:val="24"/>
          <w:lang w:eastAsia="zh-CN"/>
        </w:rPr>
        <w:t>六、联系方式</w:t>
      </w:r>
      <w:bookmarkEnd w:id="13"/>
      <w:bookmarkEnd w:id="14"/>
    </w:p>
    <w:p>
      <w:pPr>
        <w:autoSpaceDE/>
        <w:autoSpaceDN/>
        <w:spacing w:line="460" w:lineRule="atLeast"/>
        <w:ind w:firstLine="480" w:firstLineChars="200"/>
        <w:rPr>
          <w:bCs/>
          <w:sz w:val="24"/>
          <w:szCs w:val="24"/>
          <w:lang w:eastAsia="zh-CN"/>
        </w:rPr>
      </w:pPr>
      <w:r>
        <w:rPr>
          <w:rFonts w:hint="eastAsia"/>
          <w:bCs/>
          <w:sz w:val="24"/>
          <w:szCs w:val="24"/>
          <w:lang w:eastAsia="zh-CN"/>
        </w:rPr>
        <w:t>采购人：奉节县人民医院</w:t>
      </w:r>
    </w:p>
    <w:p>
      <w:pPr>
        <w:autoSpaceDE/>
        <w:autoSpaceDN/>
        <w:spacing w:line="460" w:lineRule="atLeast"/>
        <w:ind w:firstLine="480" w:firstLineChars="200"/>
        <w:rPr>
          <w:bCs/>
          <w:sz w:val="24"/>
          <w:szCs w:val="24"/>
          <w:lang w:eastAsia="zh-CN"/>
        </w:rPr>
      </w:pPr>
      <w:r>
        <w:rPr>
          <w:rFonts w:hint="eastAsia"/>
          <w:bCs/>
          <w:sz w:val="24"/>
          <w:szCs w:val="24"/>
          <w:lang w:eastAsia="zh-CN"/>
        </w:rPr>
        <w:t>联系人：易老师</w:t>
      </w:r>
    </w:p>
    <w:p>
      <w:pPr>
        <w:autoSpaceDE/>
        <w:autoSpaceDN/>
        <w:spacing w:line="460" w:lineRule="atLeast"/>
        <w:ind w:firstLine="480" w:firstLineChars="200"/>
        <w:rPr>
          <w:bCs/>
          <w:sz w:val="24"/>
          <w:szCs w:val="24"/>
          <w:lang w:eastAsia="zh-CN"/>
        </w:rPr>
      </w:pPr>
      <w:r>
        <w:rPr>
          <w:rFonts w:hint="eastAsia"/>
          <w:bCs/>
          <w:sz w:val="24"/>
          <w:szCs w:val="24"/>
          <w:lang w:eastAsia="zh-CN"/>
        </w:rPr>
        <w:t>电  话：023-56805001</w:t>
      </w:r>
    </w:p>
    <w:p>
      <w:pPr>
        <w:autoSpaceDE/>
        <w:autoSpaceDN/>
        <w:spacing w:line="460" w:lineRule="atLeast"/>
        <w:ind w:firstLine="480" w:firstLineChars="200"/>
        <w:rPr>
          <w:bCs/>
          <w:sz w:val="24"/>
          <w:szCs w:val="24"/>
          <w:lang w:eastAsia="zh-CN"/>
        </w:rPr>
      </w:pPr>
      <w:r>
        <w:rPr>
          <w:rFonts w:hint="eastAsia"/>
          <w:bCs/>
          <w:sz w:val="24"/>
          <w:szCs w:val="24"/>
          <w:lang w:eastAsia="zh-CN"/>
        </w:rPr>
        <w:t>地  址：奉节县鱼复社区康宁街2号</w:t>
      </w:r>
    </w:p>
    <w:p>
      <w:pPr>
        <w:pStyle w:val="4"/>
        <w:spacing w:line="460" w:lineRule="atLeast"/>
        <w:jc w:val="center"/>
        <w:rPr>
          <w:rFonts w:ascii="宋体" w:hAnsi="宋体"/>
          <w:kern w:val="2"/>
          <w:sz w:val="36"/>
          <w:szCs w:val="36"/>
          <w:lang w:eastAsia="zh-CN"/>
        </w:rPr>
      </w:pPr>
    </w:p>
    <w:p>
      <w:pPr>
        <w:pStyle w:val="4"/>
        <w:spacing w:line="460" w:lineRule="atLeast"/>
        <w:jc w:val="center"/>
        <w:rPr>
          <w:rFonts w:ascii="宋体" w:hAnsi="宋体"/>
          <w:kern w:val="2"/>
          <w:sz w:val="36"/>
          <w:szCs w:val="36"/>
          <w:lang w:eastAsia="zh-CN"/>
        </w:rPr>
      </w:pPr>
    </w:p>
    <w:p>
      <w:pPr>
        <w:pStyle w:val="4"/>
        <w:spacing w:line="460" w:lineRule="atLeast"/>
        <w:jc w:val="center"/>
        <w:rPr>
          <w:rFonts w:ascii="宋体" w:hAnsi="宋体"/>
          <w:kern w:val="2"/>
          <w:sz w:val="36"/>
          <w:szCs w:val="36"/>
          <w:lang w:eastAsia="zh-CN"/>
        </w:rPr>
      </w:pPr>
    </w:p>
    <w:p>
      <w:pPr>
        <w:pStyle w:val="4"/>
        <w:spacing w:line="460" w:lineRule="atLeast"/>
        <w:ind w:firstLine="1084" w:firstLineChars="300"/>
        <w:rPr>
          <w:b w:val="0"/>
          <w:bCs w:val="0"/>
          <w:kern w:val="2"/>
          <w:sz w:val="36"/>
          <w:szCs w:val="36"/>
          <w:lang w:eastAsia="zh-CN"/>
        </w:rPr>
      </w:pPr>
      <w:r>
        <w:rPr>
          <w:rFonts w:hint="eastAsia" w:ascii="宋体" w:hAnsi="宋体"/>
          <w:kern w:val="2"/>
          <w:sz w:val="36"/>
          <w:szCs w:val="36"/>
          <w:lang w:eastAsia="zh-CN"/>
        </w:rPr>
        <w:t>（一）胸痛中心建设认证服务</w:t>
      </w:r>
      <w:r>
        <w:rPr>
          <w:rFonts w:hint="eastAsia"/>
          <w:kern w:val="2"/>
          <w:sz w:val="36"/>
          <w:szCs w:val="36"/>
          <w:lang w:eastAsia="zh-CN"/>
        </w:rPr>
        <w:t>参数要求</w:t>
      </w:r>
    </w:p>
    <w:p>
      <w:pPr>
        <w:autoSpaceDE/>
        <w:autoSpaceDN/>
        <w:spacing w:beforeLines="50" w:afterLines="50" w:line="460" w:lineRule="atLeast"/>
        <w:outlineLvl w:val="1"/>
        <w:rPr>
          <w:b/>
          <w:sz w:val="24"/>
          <w:szCs w:val="24"/>
          <w:lang w:eastAsia="zh-CN"/>
        </w:rPr>
      </w:pPr>
      <w:r>
        <w:rPr>
          <w:rFonts w:hint="eastAsia"/>
          <w:b/>
          <w:sz w:val="24"/>
          <w:szCs w:val="24"/>
          <w:lang w:eastAsia="zh-CN"/>
        </w:rPr>
        <w:t>一、</w:t>
      </w:r>
      <w:r>
        <w:rPr>
          <w:rFonts w:hint="eastAsia"/>
          <w:b/>
          <w:sz w:val="24"/>
          <w:szCs w:val="24"/>
          <w:lang w:val="zh-CN" w:eastAsia="zh-CN"/>
        </w:rPr>
        <w:t>项目背景</w:t>
      </w:r>
      <w:bookmarkEnd w:id="3"/>
      <w:bookmarkEnd w:id="4"/>
    </w:p>
    <w:p>
      <w:pPr>
        <w:autoSpaceDE/>
        <w:autoSpaceDN/>
        <w:spacing w:line="460" w:lineRule="atLeast"/>
        <w:ind w:firstLine="480" w:firstLineChars="200"/>
        <w:rPr>
          <w:bCs/>
          <w:sz w:val="24"/>
          <w:szCs w:val="24"/>
          <w:lang w:eastAsia="zh-CN"/>
        </w:rPr>
      </w:pPr>
      <w:r>
        <w:rPr>
          <w:rFonts w:hint="eastAsia"/>
          <w:bCs/>
          <w:sz w:val="24"/>
          <w:szCs w:val="24"/>
          <w:lang w:eastAsia="zh-CN"/>
        </w:rPr>
        <w:t>《“十三五”应急体系建设规划》中指出，针对公共卫生事件，突发公共卫生事件及时、有效、规范处置率达100%。急、危、重症、传染病疫情和中毒事件应急预案和技术方案等卫生应急培训覆盖率。</w:t>
      </w:r>
      <w:r>
        <w:rPr>
          <w:rFonts w:hint="eastAsia"/>
          <w:bCs/>
          <w:sz w:val="24"/>
          <w:szCs w:val="24"/>
          <w:lang w:val="zh-CN" w:eastAsia="zh-CN"/>
        </w:rPr>
        <w:t>通知要求各地市级卫生行政部门要高度重视胸痛相关疾病的救治工作，鼓励满足建设条件二级及以上医院建设胸痛中心。通知的发布有利于推动建立多学科诊疗模式，提升</w:t>
      </w:r>
      <w:r>
        <w:rPr>
          <w:rFonts w:hint="eastAsia"/>
          <w:bCs/>
          <w:sz w:val="24"/>
          <w:szCs w:val="24"/>
          <w:lang w:eastAsia="zh-CN"/>
        </w:rPr>
        <w:t>医院对于</w:t>
      </w:r>
      <w:r>
        <w:rPr>
          <w:rFonts w:hint="eastAsia"/>
          <w:bCs/>
          <w:sz w:val="24"/>
          <w:szCs w:val="24"/>
          <w:lang w:val="zh-CN" w:eastAsia="zh-CN"/>
        </w:rPr>
        <w:t>胸痛</w:t>
      </w:r>
      <w:r>
        <w:rPr>
          <w:rFonts w:hint="eastAsia"/>
          <w:bCs/>
          <w:sz w:val="24"/>
          <w:szCs w:val="24"/>
          <w:lang w:eastAsia="zh-CN"/>
        </w:rPr>
        <w:t>患者</w:t>
      </w:r>
      <w:r>
        <w:rPr>
          <w:rFonts w:hint="eastAsia"/>
          <w:bCs/>
          <w:sz w:val="24"/>
          <w:szCs w:val="24"/>
          <w:lang w:val="zh-CN" w:eastAsia="zh-CN"/>
        </w:rPr>
        <w:t>救治能力。</w:t>
      </w:r>
    </w:p>
    <w:p>
      <w:pPr>
        <w:autoSpaceDE/>
        <w:autoSpaceDN/>
        <w:spacing w:beforeLines="50" w:afterLines="50" w:line="460" w:lineRule="atLeast"/>
        <w:outlineLvl w:val="1"/>
        <w:rPr>
          <w:b/>
          <w:sz w:val="24"/>
          <w:szCs w:val="24"/>
          <w:lang w:val="zh-CN" w:eastAsia="zh-CN"/>
        </w:rPr>
      </w:pPr>
      <w:bookmarkStart w:id="15" w:name="_Toc9942"/>
      <w:bookmarkStart w:id="16" w:name="_Toc9631"/>
      <w:r>
        <w:rPr>
          <w:rFonts w:hint="eastAsia"/>
          <w:b/>
          <w:sz w:val="24"/>
          <w:szCs w:val="24"/>
          <w:lang w:eastAsia="zh-CN"/>
        </w:rPr>
        <w:t>二、</w:t>
      </w:r>
      <w:r>
        <w:rPr>
          <w:rFonts w:hint="eastAsia"/>
          <w:b/>
          <w:sz w:val="24"/>
          <w:szCs w:val="24"/>
          <w:lang w:val="zh-CN" w:eastAsia="zh-CN"/>
        </w:rPr>
        <w:t>建设目标</w:t>
      </w:r>
      <w:bookmarkEnd w:id="15"/>
      <w:bookmarkEnd w:id="16"/>
    </w:p>
    <w:p>
      <w:pPr>
        <w:autoSpaceDE/>
        <w:autoSpaceDN/>
        <w:spacing w:beforeLines="50" w:afterLines="50" w:line="460" w:lineRule="atLeast"/>
        <w:ind w:firstLine="480" w:firstLineChars="200"/>
        <w:rPr>
          <w:bCs/>
          <w:sz w:val="24"/>
          <w:szCs w:val="24"/>
          <w:lang w:eastAsia="zh-CN"/>
        </w:rPr>
      </w:pPr>
      <w:r>
        <w:rPr>
          <w:rFonts w:hint="eastAsia"/>
          <w:bCs/>
          <w:sz w:val="24"/>
          <w:szCs w:val="24"/>
          <w:lang w:eastAsia="zh-CN"/>
        </w:rPr>
        <w:t>1、</w:t>
      </w:r>
      <w:r>
        <w:rPr>
          <w:rFonts w:hint="eastAsia"/>
          <w:bCs/>
          <w:sz w:val="24"/>
          <w:szCs w:val="24"/>
          <w:lang w:val="zh-CN" w:eastAsia="zh-CN"/>
        </w:rPr>
        <w:t>“胸痛中心”是通过多学科合作，为胸痛患者提供快速而准确的诊断、危险评估和恰当的治疗手段，从而提高</w:t>
      </w:r>
      <w:r>
        <w:rPr>
          <w:rFonts w:hint="eastAsia"/>
          <w:bCs/>
          <w:sz w:val="24"/>
          <w:szCs w:val="24"/>
          <w:lang w:eastAsia="zh-CN"/>
        </w:rPr>
        <w:t>医院对于</w:t>
      </w:r>
      <w:r>
        <w:rPr>
          <w:rFonts w:hint="eastAsia"/>
          <w:bCs/>
          <w:sz w:val="24"/>
          <w:szCs w:val="24"/>
          <w:lang w:val="zh-CN" w:eastAsia="zh-CN"/>
        </w:rPr>
        <w:t>胸痛的诊断和治疗能力，减少</w:t>
      </w:r>
      <w:r>
        <w:rPr>
          <w:rFonts w:hint="eastAsia"/>
          <w:bCs/>
          <w:sz w:val="24"/>
          <w:szCs w:val="24"/>
          <w:lang w:eastAsia="zh-CN"/>
        </w:rPr>
        <w:t>患者</w:t>
      </w:r>
      <w:r>
        <w:rPr>
          <w:rFonts w:hint="eastAsia"/>
          <w:bCs/>
          <w:sz w:val="24"/>
          <w:szCs w:val="24"/>
          <w:lang w:val="zh-CN" w:eastAsia="zh-CN"/>
        </w:rPr>
        <w:t>误诊和漏诊，避免治疗不足或过度治疗，降低胸痛患者的死亡率，改善临床预后。</w:t>
      </w:r>
    </w:p>
    <w:p>
      <w:pPr>
        <w:autoSpaceDE/>
        <w:autoSpaceDN/>
        <w:spacing w:line="460" w:lineRule="atLeast"/>
        <w:ind w:firstLine="420"/>
        <w:rPr>
          <w:bCs/>
          <w:sz w:val="24"/>
          <w:szCs w:val="24"/>
          <w:lang w:val="zh-CN" w:eastAsia="zh-CN"/>
        </w:rPr>
      </w:pPr>
      <w:r>
        <w:rPr>
          <w:rFonts w:hint="eastAsia"/>
          <w:bCs/>
          <w:sz w:val="24"/>
          <w:szCs w:val="24"/>
          <w:lang w:eastAsia="zh-CN"/>
        </w:rPr>
        <w:t>2、</w:t>
      </w:r>
      <w:r>
        <w:rPr>
          <w:rFonts w:hint="eastAsia"/>
          <w:bCs/>
          <w:sz w:val="24"/>
          <w:szCs w:val="24"/>
          <w:lang w:val="zh-CN" w:eastAsia="zh-CN"/>
        </w:rPr>
        <w:t>通过采购胸痛中心建设咨询服务，合理规范胸痛中心各环节救治流程，加强内部时间控制，提高医院胸痛中心业务管理水平，促进医院胸痛中心可持续健康发展。通过协助与指导，</w:t>
      </w:r>
      <w:r>
        <w:rPr>
          <w:rFonts w:hint="eastAsia"/>
          <w:bCs/>
          <w:sz w:val="24"/>
          <w:szCs w:val="24"/>
          <w:lang w:eastAsia="zh-CN"/>
        </w:rPr>
        <w:t>使</w:t>
      </w:r>
      <w:r>
        <w:rPr>
          <w:rFonts w:hint="eastAsia"/>
          <w:bCs/>
          <w:sz w:val="24"/>
          <w:szCs w:val="24"/>
          <w:lang w:val="zh-CN" w:eastAsia="zh-CN"/>
        </w:rPr>
        <w:t>奉节县人民医院</w:t>
      </w:r>
      <w:r>
        <w:rPr>
          <w:rFonts w:hint="eastAsia"/>
          <w:bCs/>
          <w:sz w:val="24"/>
          <w:szCs w:val="24"/>
          <w:lang w:eastAsia="zh-CN"/>
        </w:rPr>
        <w:t>顺利通过</w:t>
      </w:r>
      <w:r>
        <w:rPr>
          <w:rFonts w:hint="eastAsia" w:cs="楷体"/>
          <w:sz w:val="24"/>
          <w:szCs w:val="24"/>
          <w:lang w:eastAsia="zh-CN"/>
        </w:rPr>
        <w:t>中国胸痛中心认证。</w:t>
      </w:r>
    </w:p>
    <w:p>
      <w:pPr>
        <w:autoSpaceDE/>
        <w:autoSpaceDN/>
        <w:spacing w:beforeLines="50" w:afterLines="50" w:line="460" w:lineRule="atLeast"/>
        <w:outlineLvl w:val="1"/>
        <w:rPr>
          <w:b/>
          <w:sz w:val="24"/>
          <w:szCs w:val="24"/>
          <w:lang w:val="zh-CN" w:eastAsia="zh-CN"/>
        </w:rPr>
      </w:pPr>
      <w:r>
        <w:rPr>
          <w:rFonts w:hint="eastAsia"/>
          <w:b/>
          <w:sz w:val="24"/>
          <w:szCs w:val="24"/>
          <w:lang w:eastAsia="zh-CN"/>
        </w:rPr>
        <w:t>三、服务内容</w:t>
      </w:r>
    </w:p>
    <w:p>
      <w:pPr>
        <w:autoSpaceDE/>
        <w:autoSpaceDN/>
        <w:spacing w:beforeLines="50" w:afterLines="50" w:line="460" w:lineRule="atLeast"/>
        <w:ind w:firstLine="420"/>
        <w:rPr>
          <w:bCs/>
          <w:sz w:val="24"/>
          <w:szCs w:val="24"/>
          <w:lang w:val="zh-CN" w:eastAsia="zh-CN"/>
        </w:rPr>
      </w:pPr>
      <w:r>
        <w:rPr>
          <w:rFonts w:hint="eastAsia"/>
          <w:bCs/>
          <w:sz w:val="24"/>
          <w:szCs w:val="24"/>
          <w:lang w:val="zh-CN" w:eastAsia="zh-CN"/>
        </w:rPr>
        <w:t>奉节县人民医院为建立区域、科学、协同、高效和标准化的</w:t>
      </w:r>
      <w:r>
        <w:rPr>
          <w:rFonts w:hint="eastAsia"/>
          <w:bCs/>
          <w:sz w:val="24"/>
          <w:szCs w:val="24"/>
          <w:lang w:eastAsia="zh-CN"/>
        </w:rPr>
        <w:t>急危重症患者</w:t>
      </w:r>
      <w:r>
        <w:rPr>
          <w:rFonts w:hint="eastAsia"/>
          <w:bCs/>
          <w:sz w:val="24"/>
          <w:szCs w:val="24"/>
          <w:lang w:val="zh-CN" w:eastAsia="zh-CN"/>
        </w:rPr>
        <w:t>急救体系，申报国家</w:t>
      </w:r>
      <w:r>
        <w:rPr>
          <w:rFonts w:hint="eastAsia"/>
          <w:bCs/>
          <w:sz w:val="24"/>
          <w:szCs w:val="24"/>
          <w:lang w:eastAsia="zh-CN"/>
        </w:rPr>
        <w:t>胸痛</w:t>
      </w:r>
      <w:r>
        <w:rPr>
          <w:rFonts w:hint="eastAsia"/>
          <w:bCs/>
          <w:sz w:val="24"/>
          <w:szCs w:val="24"/>
          <w:lang w:val="zh-CN" w:eastAsia="zh-CN"/>
        </w:rPr>
        <w:t>中心，拟与相关咨询辅导机构建立合作关系，合作内容为：</w:t>
      </w:r>
    </w:p>
    <w:p>
      <w:pPr>
        <w:autoSpaceDE/>
        <w:autoSpaceDN/>
        <w:spacing w:line="460" w:lineRule="atLeast"/>
        <w:ind w:firstLine="420"/>
        <w:rPr>
          <w:rFonts w:cs="楷体"/>
          <w:sz w:val="24"/>
          <w:szCs w:val="24"/>
          <w:lang w:eastAsia="zh-CN"/>
        </w:rPr>
      </w:pPr>
      <w:r>
        <w:rPr>
          <w:rFonts w:hint="eastAsia" w:cs="楷体"/>
          <w:sz w:val="24"/>
          <w:szCs w:val="24"/>
          <w:lang w:eastAsia="zh-CN"/>
        </w:rPr>
        <w:t>1、协助指导胸痛中心建设内部管理架构设计；</w:t>
      </w:r>
    </w:p>
    <w:p>
      <w:pPr>
        <w:autoSpaceDE/>
        <w:autoSpaceDN/>
        <w:spacing w:line="460" w:lineRule="atLeast"/>
        <w:ind w:firstLine="420"/>
        <w:rPr>
          <w:rFonts w:cs="楷体"/>
          <w:sz w:val="24"/>
          <w:szCs w:val="24"/>
          <w:lang w:eastAsia="zh-CN"/>
        </w:rPr>
      </w:pPr>
      <w:r>
        <w:rPr>
          <w:rFonts w:hint="eastAsia" w:cs="楷体"/>
          <w:sz w:val="24"/>
          <w:szCs w:val="24"/>
          <w:lang w:eastAsia="zh-CN"/>
        </w:rPr>
        <w:t>2、协助指导制定胸痛中心各项管理制度；</w:t>
      </w:r>
    </w:p>
    <w:p>
      <w:pPr>
        <w:autoSpaceDE/>
        <w:autoSpaceDN/>
        <w:spacing w:line="460" w:lineRule="atLeast"/>
        <w:ind w:firstLine="420"/>
        <w:rPr>
          <w:rFonts w:cs="楷体"/>
          <w:sz w:val="24"/>
          <w:szCs w:val="24"/>
          <w:lang w:eastAsia="zh-CN"/>
        </w:rPr>
      </w:pPr>
      <w:r>
        <w:rPr>
          <w:rFonts w:hint="eastAsia" w:cs="楷体"/>
          <w:sz w:val="24"/>
          <w:szCs w:val="24"/>
          <w:lang w:eastAsia="zh-CN"/>
        </w:rPr>
        <w:t>3、协助指导完善胸痛中心标识、地标体系；</w:t>
      </w:r>
    </w:p>
    <w:p>
      <w:pPr>
        <w:autoSpaceDE/>
        <w:autoSpaceDN/>
        <w:spacing w:line="460" w:lineRule="atLeast"/>
        <w:ind w:firstLine="420"/>
        <w:rPr>
          <w:rFonts w:cs="楷体"/>
          <w:sz w:val="24"/>
          <w:szCs w:val="24"/>
          <w:lang w:eastAsia="zh-CN"/>
        </w:rPr>
      </w:pPr>
      <w:r>
        <w:rPr>
          <w:rFonts w:hint="eastAsia" w:cs="楷体"/>
          <w:sz w:val="24"/>
          <w:szCs w:val="24"/>
          <w:lang w:eastAsia="zh-CN"/>
        </w:rPr>
        <w:t>4、协助指导胸痛中心流程图设计；</w:t>
      </w:r>
    </w:p>
    <w:p>
      <w:pPr>
        <w:autoSpaceDE/>
        <w:autoSpaceDN/>
        <w:spacing w:line="460" w:lineRule="atLeast"/>
        <w:ind w:firstLine="420"/>
        <w:rPr>
          <w:rFonts w:cs="楷体"/>
          <w:sz w:val="24"/>
          <w:szCs w:val="24"/>
          <w:lang w:eastAsia="zh-CN"/>
        </w:rPr>
      </w:pPr>
      <w:r>
        <w:rPr>
          <w:rFonts w:hint="eastAsia" w:cs="楷体"/>
          <w:sz w:val="24"/>
          <w:szCs w:val="24"/>
          <w:lang w:eastAsia="zh-CN"/>
        </w:rPr>
        <w:t>5、协助指导胸痛中心时钟统一；</w:t>
      </w:r>
    </w:p>
    <w:p>
      <w:pPr>
        <w:autoSpaceDE/>
        <w:autoSpaceDN/>
        <w:spacing w:line="460" w:lineRule="atLeast"/>
        <w:ind w:firstLine="420"/>
        <w:rPr>
          <w:rFonts w:cs="楷体"/>
          <w:sz w:val="24"/>
          <w:szCs w:val="24"/>
          <w:lang w:eastAsia="zh-CN"/>
        </w:rPr>
      </w:pPr>
      <w:r>
        <w:rPr>
          <w:rFonts w:hint="eastAsia" w:cs="楷体"/>
          <w:sz w:val="24"/>
          <w:szCs w:val="24"/>
          <w:lang w:eastAsia="zh-CN"/>
        </w:rPr>
        <w:t>6、协助指导胸痛中心病历数据填报；</w:t>
      </w:r>
    </w:p>
    <w:p>
      <w:pPr>
        <w:autoSpaceDE/>
        <w:autoSpaceDN/>
        <w:spacing w:line="460" w:lineRule="atLeast"/>
        <w:ind w:firstLine="420"/>
        <w:rPr>
          <w:rFonts w:cs="楷体"/>
          <w:sz w:val="24"/>
          <w:szCs w:val="24"/>
          <w:lang w:eastAsia="zh-CN"/>
        </w:rPr>
      </w:pPr>
      <w:r>
        <w:rPr>
          <w:rFonts w:hint="eastAsia" w:cs="楷体"/>
          <w:sz w:val="24"/>
          <w:szCs w:val="24"/>
          <w:lang w:eastAsia="zh-CN"/>
        </w:rPr>
        <w:t>7、协助指导胸痛中心基于数据趋势的对数据进行质控；</w:t>
      </w:r>
    </w:p>
    <w:p>
      <w:pPr>
        <w:autoSpaceDE/>
        <w:autoSpaceDN/>
        <w:spacing w:line="460" w:lineRule="atLeast"/>
        <w:ind w:firstLine="420"/>
        <w:rPr>
          <w:rFonts w:cs="楷体"/>
          <w:sz w:val="24"/>
          <w:szCs w:val="24"/>
          <w:lang w:eastAsia="zh-CN"/>
        </w:rPr>
      </w:pPr>
      <w:r>
        <w:rPr>
          <w:rFonts w:hint="eastAsia" w:cs="楷体"/>
          <w:sz w:val="24"/>
          <w:szCs w:val="24"/>
          <w:lang w:eastAsia="zh-CN"/>
        </w:rPr>
        <w:t>8、协助提供胸痛中心区域协议和培训课件，并审核培训资料文件；</w:t>
      </w:r>
    </w:p>
    <w:p>
      <w:pPr>
        <w:autoSpaceDE/>
        <w:autoSpaceDN/>
        <w:spacing w:line="460" w:lineRule="atLeast"/>
        <w:ind w:firstLine="420"/>
        <w:rPr>
          <w:rFonts w:cs="楷体"/>
          <w:sz w:val="24"/>
          <w:szCs w:val="24"/>
          <w:lang w:eastAsia="zh-CN"/>
        </w:rPr>
      </w:pPr>
      <w:r>
        <w:rPr>
          <w:rFonts w:hint="eastAsia" w:cs="楷体"/>
          <w:sz w:val="24"/>
          <w:szCs w:val="24"/>
          <w:lang w:eastAsia="zh-CN"/>
        </w:rPr>
        <w:t>9、协助提供胸痛中心救治演练方案并现场指导演练；</w:t>
      </w:r>
    </w:p>
    <w:p>
      <w:pPr>
        <w:autoSpaceDE/>
        <w:autoSpaceDN/>
        <w:spacing w:line="460" w:lineRule="atLeast"/>
        <w:ind w:firstLine="420"/>
        <w:rPr>
          <w:rFonts w:cs="楷体"/>
          <w:sz w:val="24"/>
          <w:szCs w:val="24"/>
          <w:lang w:eastAsia="zh-CN"/>
        </w:rPr>
      </w:pPr>
      <w:r>
        <w:rPr>
          <w:rFonts w:hint="eastAsia" w:cs="楷体"/>
          <w:sz w:val="24"/>
          <w:szCs w:val="24"/>
          <w:lang w:eastAsia="zh-CN"/>
        </w:rPr>
        <w:t>10、协助指导胸痛中心微服私访及现场核查的要点要素。</w:t>
      </w:r>
    </w:p>
    <w:p>
      <w:pPr>
        <w:autoSpaceDE/>
        <w:autoSpaceDN/>
        <w:spacing w:line="460" w:lineRule="atLeast"/>
        <w:ind w:firstLine="480" w:firstLineChars="200"/>
        <w:rPr>
          <w:rFonts w:cs="楷体"/>
          <w:b/>
          <w:bCs/>
          <w:sz w:val="24"/>
          <w:szCs w:val="24"/>
          <w:lang w:eastAsia="zh-CN"/>
        </w:rPr>
      </w:pPr>
      <w:r>
        <w:rPr>
          <w:rFonts w:hint="eastAsia" w:cs="楷体"/>
          <w:sz w:val="24"/>
          <w:szCs w:val="24"/>
          <w:lang w:eastAsia="zh-CN"/>
        </w:rPr>
        <w:t>竞标方对于本院胸痛中心建设要有专业指导小组成员，且至少7人。在胸痛中心建设期间，结合医院的现状和认证需求，从认证标准的共性和医院的独特个性两方面相结合，协助医院做好胸痛中心认证规划，制定计划和推进胸痛中心认证工作</w:t>
      </w:r>
      <w:r>
        <w:rPr>
          <w:rFonts w:hint="eastAsia" w:cs="楷体"/>
          <w:b/>
          <w:sz w:val="24"/>
          <w:szCs w:val="24"/>
          <w:lang w:eastAsia="zh-CN"/>
        </w:rPr>
        <w:t>。</w:t>
      </w:r>
    </w:p>
    <w:p>
      <w:pPr>
        <w:autoSpaceDE/>
        <w:autoSpaceDN/>
        <w:spacing w:line="460" w:lineRule="atLeast"/>
        <w:ind w:firstLine="420"/>
        <w:rPr>
          <w:rFonts w:cs="楷体"/>
          <w:b/>
          <w:bCs/>
          <w:sz w:val="24"/>
          <w:szCs w:val="24"/>
          <w:lang w:eastAsia="zh-CN"/>
        </w:rPr>
      </w:pPr>
      <w:r>
        <w:rPr>
          <w:rFonts w:hint="eastAsia" w:cs="楷体"/>
          <w:b/>
          <w:bCs/>
          <w:sz w:val="24"/>
          <w:szCs w:val="24"/>
          <w:lang w:eastAsia="zh-CN"/>
        </w:rPr>
        <w:t>1）标识标志组</w:t>
      </w:r>
    </w:p>
    <w:p>
      <w:pPr>
        <w:autoSpaceDE/>
        <w:autoSpaceDN/>
        <w:spacing w:line="460" w:lineRule="atLeast"/>
        <w:ind w:firstLine="480" w:firstLineChars="200"/>
        <w:rPr>
          <w:rFonts w:cs="楷体"/>
          <w:sz w:val="24"/>
          <w:szCs w:val="24"/>
          <w:lang w:eastAsia="zh-CN"/>
        </w:rPr>
      </w:pPr>
      <w:r>
        <w:rPr>
          <w:rFonts w:hint="eastAsia" w:cs="楷体"/>
          <w:sz w:val="24"/>
          <w:szCs w:val="24"/>
          <w:lang w:eastAsia="zh-CN"/>
        </w:rPr>
        <w:t>根据医院的实际情况，以及契合医院企业文化，对院内、外胸痛中心所要求的标识标志进行精准定位，对医院广告公司的设计方案、给予相应的指导。力求一次性设计、制作完成，减少浪费，大大节约了人力、物力、财力。</w:t>
      </w:r>
    </w:p>
    <w:p>
      <w:pPr>
        <w:autoSpaceDE/>
        <w:autoSpaceDN/>
        <w:spacing w:line="460" w:lineRule="atLeast"/>
        <w:ind w:firstLine="420"/>
        <w:rPr>
          <w:rFonts w:cs="楷体"/>
          <w:b/>
          <w:bCs/>
          <w:sz w:val="24"/>
          <w:szCs w:val="24"/>
          <w:lang w:eastAsia="zh-CN"/>
        </w:rPr>
      </w:pPr>
      <w:r>
        <w:rPr>
          <w:rFonts w:hint="eastAsia" w:cs="楷体"/>
          <w:b/>
          <w:bCs/>
          <w:sz w:val="24"/>
          <w:szCs w:val="24"/>
          <w:lang w:eastAsia="zh-CN"/>
        </w:rPr>
        <w:t>2）建设材料组</w:t>
      </w:r>
    </w:p>
    <w:p>
      <w:pPr>
        <w:autoSpaceDE/>
        <w:autoSpaceDN/>
        <w:spacing w:line="460" w:lineRule="atLeast"/>
        <w:rPr>
          <w:rFonts w:cs="楷体"/>
          <w:b/>
          <w:bCs/>
          <w:sz w:val="24"/>
          <w:szCs w:val="24"/>
          <w:lang w:eastAsia="zh-CN"/>
        </w:rPr>
      </w:pPr>
      <w:r>
        <w:rPr>
          <w:rFonts w:hint="eastAsia" w:cs="楷体"/>
          <w:sz w:val="24"/>
          <w:szCs w:val="24"/>
          <w:lang w:eastAsia="zh-CN"/>
        </w:rPr>
        <w:t xml:space="preserve">    按照胸痛中心总部的要求，为医院提供合适的建设材料模板，并结合医院的实际情况，协助医院核心科室的医护人员结合实际的情况进行优化；对医院数据员、协调员上传的建设材料进行预审，给出修改建议。</w:t>
      </w:r>
      <w:r>
        <w:rPr>
          <w:rFonts w:hint="eastAsia"/>
          <w:sz w:val="10"/>
          <w:szCs w:val="10"/>
          <w:lang w:eastAsia="zh-CN"/>
        </w:rPr>
        <w:t xml:space="preserve"> </w:t>
      </w:r>
    </w:p>
    <w:p>
      <w:pPr>
        <w:autoSpaceDE/>
        <w:autoSpaceDN/>
        <w:spacing w:line="460" w:lineRule="atLeast"/>
        <w:ind w:firstLine="420"/>
        <w:rPr>
          <w:rFonts w:cs="楷体"/>
          <w:b/>
          <w:bCs/>
          <w:sz w:val="24"/>
          <w:szCs w:val="24"/>
          <w:lang w:eastAsia="zh-CN"/>
        </w:rPr>
      </w:pPr>
      <w:bookmarkStart w:id="17" w:name="_Hlk97110370"/>
      <w:r>
        <w:rPr>
          <w:rFonts w:hint="eastAsia" w:cs="楷体"/>
          <w:b/>
          <w:bCs/>
          <w:sz w:val="24"/>
          <w:szCs w:val="24"/>
          <w:lang w:eastAsia="zh-CN"/>
        </w:rPr>
        <w:t>＊</w:t>
      </w:r>
      <w:bookmarkEnd w:id="17"/>
      <w:r>
        <w:rPr>
          <w:rFonts w:hint="eastAsia" w:cs="楷体"/>
          <w:b/>
          <w:bCs/>
          <w:sz w:val="24"/>
          <w:szCs w:val="24"/>
          <w:lang w:eastAsia="zh-CN"/>
        </w:rPr>
        <w:t>3）数据指导组</w:t>
      </w:r>
      <w:bookmarkStart w:id="18" w:name="_Hlk97110259"/>
      <w:r>
        <w:rPr>
          <w:rFonts w:hint="eastAsia" w:cs="楷体"/>
          <w:b/>
          <w:bCs/>
          <w:sz w:val="24"/>
          <w:szCs w:val="24"/>
          <w:lang w:eastAsia="zh-CN"/>
        </w:rPr>
        <w:t>（需比选现场演示并讲解）</w:t>
      </w:r>
      <w:bookmarkEnd w:id="18"/>
      <w:r>
        <w:rPr>
          <w:rFonts w:hint="eastAsia" w:cs="楷体"/>
          <w:b/>
          <w:bCs/>
          <w:sz w:val="24"/>
          <w:szCs w:val="24"/>
          <w:lang w:eastAsia="zh-CN"/>
        </w:rPr>
        <w:t xml:space="preserve">  </w:t>
      </w:r>
    </w:p>
    <w:p>
      <w:pPr>
        <w:autoSpaceDE/>
        <w:autoSpaceDN/>
        <w:spacing w:line="460" w:lineRule="atLeast"/>
        <w:ind w:firstLine="480" w:firstLineChars="200"/>
        <w:rPr>
          <w:rFonts w:cs="楷体"/>
          <w:sz w:val="24"/>
          <w:szCs w:val="24"/>
          <w:lang w:eastAsia="zh-CN"/>
        </w:rPr>
      </w:pPr>
      <w:r>
        <w:rPr>
          <w:rFonts w:hint="eastAsia" w:cs="楷体"/>
          <w:sz w:val="24"/>
          <w:szCs w:val="24"/>
          <w:lang w:eastAsia="zh-CN"/>
        </w:rPr>
        <w:t xml:space="preserve">成员均为一线实操的、经验丰富的专业人士，会对各临床科室医护人员时间节点表填写和数据录入的培训，培养他们成为数据填报方面的专业人士。并对所填报数据进行周期性动态的审查，并提供数据反馈报告，协助修改和优化。 </w:t>
      </w:r>
    </w:p>
    <w:p>
      <w:pPr>
        <w:autoSpaceDE/>
        <w:autoSpaceDN/>
        <w:spacing w:line="460" w:lineRule="atLeast"/>
        <w:ind w:firstLine="420"/>
        <w:rPr>
          <w:rFonts w:cs="楷体"/>
          <w:b/>
          <w:bCs/>
          <w:sz w:val="24"/>
          <w:szCs w:val="24"/>
          <w:lang w:eastAsia="zh-CN"/>
        </w:rPr>
      </w:pPr>
      <w:r>
        <w:rPr>
          <w:rFonts w:hint="eastAsia" w:cs="楷体"/>
          <w:b/>
          <w:bCs/>
          <w:sz w:val="24"/>
          <w:szCs w:val="24"/>
          <w:lang w:eastAsia="zh-CN"/>
        </w:rPr>
        <w:t>＊4）数据内审预审组（需比选现场演示并讲解）</w:t>
      </w:r>
    </w:p>
    <w:p>
      <w:pPr>
        <w:autoSpaceDE/>
        <w:autoSpaceDN/>
        <w:spacing w:line="460" w:lineRule="atLeast"/>
        <w:rPr>
          <w:rFonts w:cs="楷体"/>
          <w:b/>
          <w:bCs/>
          <w:sz w:val="24"/>
          <w:szCs w:val="24"/>
          <w:lang w:eastAsia="zh-CN"/>
        </w:rPr>
      </w:pPr>
      <w:r>
        <w:rPr>
          <w:rFonts w:hint="eastAsia" w:cs="楷体"/>
          <w:sz w:val="24"/>
          <w:szCs w:val="24"/>
          <w:lang w:eastAsia="zh-CN"/>
        </w:rPr>
        <w:t xml:space="preserve">    专业的数据分析员，协助指导医院相关人员对数据结构、数据基线、数据趋势进行合理化的质控，找出问题，并且提出改进建议。</w:t>
      </w:r>
    </w:p>
    <w:p>
      <w:pPr>
        <w:autoSpaceDE/>
        <w:autoSpaceDN/>
        <w:spacing w:line="460" w:lineRule="atLeast"/>
        <w:ind w:firstLine="420"/>
        <w:rPr>
          <w:rFonts w:cs="楷体"/>
          <w:b/>
          <w:bCs/>
          <w:sz w:val="24"/>
          <w:szCs w:val="24"/>
          <w:lang w:eastAsia="zh-CN"/>
        </w:rPr>
      </w:pPr>
      <w:r>
        <w:rPr>
          <w:rFonts w:hint="eastAsia" w:cs="楷体"/>
          <w:b/>
          <w:bCs/>
          <w:sz w:val="24"/>
          <w:szCs w:val="24"/>
          <w:lang w:eastAsia="zh-CN"/>
        </w:rPr>
        <w:t>＊5）120演练和培训组（需比选现场演示并讲解）</w:t>
      </w:r>
    </w:p>
    <w:p>
      <w:pPr>
        <w:autoSpaceDE/>
        <w:autoSpaceDN/>
        <w:spacing w:line="460" w:lineRule="atLeast"/>
        <w:rPr>
          <w:rFonts w:cs="楷体"/>
          <w:sz w:val="24"/>
          <w:szCs w:val="24"/>
          <w:lang w:eastAsia="zh-CN"/>
        </w:rPr>
      </w:pPr>
      <w:r>
        <w:rPr>
          <w:rFonts w:hint="eastAsia" w:cs="楷体"/>
          <w:sz w:val="24"/>
          <w:szCs w:val="24"/>
          <w:lang w:eastAsia="zh-CN"/>
        </w:rPr>
        <w:t xml:space="preserve">   </w:t>
      </w:r>
      <w:r>
        <w:rPr>
          <w:rFonts w:hint="eastAsia" w:cs="楷体"/>
          <w:sz w:val="24"/>
          <w:szCs w:val="24"/>
          <w:lang w:eastAsia="zh-CN"/>
        </w:rPr>
        <w:tab/>
      </w:r>
      <w:r>
        <w:rPr>
          <w:rFonts w:hint="eastAsia" w:cs="楷体"/>
          <w:sz w:val="24"/>
          <w:szCs w:val="24"/>
          <w:lang w:eastAsia="zh-CN"/>
        </w:rPr>
        <w:t>针对不同的来院方式（120、院内发病、自行来院），提供演练方案，指导医院胸痛患者救治流程的演练，发现问题，总结提高院前急救的人员的救治意识，掌握胸痛中心认证中规范要求和要点。</w:t>
      </w:r>
      <w:r>
        <w:rPr>
          <w:rFonts w:hint="eastAsia"/>
          <w:sz w:val="10"/>
          <w:szCs w:val="10"/>
          <w:lang w:eastAsia="zh-CN"/>
        </w:rPr>
        <w:t xml:space="preserve"> </w:t>
      </w:r>
    </w:p>
    <w:p>
      <w:pPr>
        <w:autoSpaceDE/>
        <w:autoSpaceDN/>
        <w:spacing w:line="460" w:lineRule="atLeast"/>
        <w:ind w:firstLine="420"/>
        <w:rPr>
          <w:rFonts w:cs="楷体"/>
          <w:b/>
          <w:bCs/>
          <w:sz w:val="24"/>
          <w:szCs w:val="24"/>
          <w:lang w:eastAsia="zh-CN"/>
        </w:rPr>
      </w:pPr>
      <w:r>
        <w:rPr>
          <w:rFonts w:hint="eastAsia" w:cs="楷体"/>
          <w:b/>
          <w:bCs/>
          <w:sz w:val="24"/>
          <w:szCs w:val="24"/>
          <w:lang w:eastAsia="zh-CN"/>
        </w:rPr>
        <w:t>6）模拟暗访组</w:t>
      </w:r>
    </w:p>
    <w:p>
      <w:pPr>
        <w:autoSpaceDE/>
        <w:autoSpaceDN/>
        <w:spacing w:line="460" w:lineRule="atLeast"/>
        <w:rPr>
          <w:rFonts w:cs="楷体"/>
          <w:b/>
          <w:bCs/>
          <w:sz w:val="24"/>
          <w:szCs w:val="24"/>
          <w:lang w:eastAsia="zh-CN"/>
        </w:rPr>
      </w:pPr>
      <w:r>
        <w:rPr>
          <w:rFonts w:hint="eastAsia" w:cs="楷体"/>
          <w:sz w:val="24"/>
          <w:szCs w:val="24"/>
          <w:lang w:eastAsia="zh-CN"/>
        </w:rPr>
        <w:t xml:space="preserve">    在总部专家来院暗访前，根据胸痛中心暗访要素，模拟暗访专业人员到院做非官方、真实的模拟暗访和暗访注意事项、流程要点的培训，对模拟暗访的结果以报告的形式反馈给医院相关人员，并给出建设性意见。</w:t>
      </w:r>
    </w:p>
    <w:p>
      <w:pPr>
        <w:autoSpaceDE/>
        <w:autoSpaceDN/>
        <w:spacing w:line="460" w:lineRule="atLeast"/>
        <w:ind w:firstLine="420"/>
        <w:rPr>
          <w:rFonts w:cs="楷体"/>
          <w:b/>
          <w:bCs/>
          <w:sz w:val="24"/>
          <w:szCs w:val="24"/>
          <w:lang w:eastAsia="zh-CN"/>
        </w:rPr>
      </w:pPr>
      <w:r>
        <w:rPr>
          <w:rFonts w:hint="eastAsia" w:cs="楷体"/>
          <w:b/>
          <w:bCs/>
          <w:sz w:val="24"/>
          <w:szCs w:val="24"/>
          <w:lang w:eastAsia="zh-CN"/>
        </w:rPr>
        <w:t>7）模拟现场核查组</w:t>
      </w:r>
    </w:p>
    <w:p>
      <w:pPr>
        <w:autoSpaceDE/>
        <w:autoSpaceDN/>
        <w:spacing w:line="460" w:lineRule="atLeast"/>
        <w:rPr>
          <w:rFonts w:cs="楷体"/>
          <w:sz w:val="24"/>
          <w:szCs w:val="24"/>
          <w:lang w:eastAsia="zh-CN"/>
        </w:rPr>
      </w:pPr>
      <w:r>
        <w:rPr>
          <w:rFonts w:hint="eastAsia" w:cs="楷体"/>
          <w:sz w:val="24"/>
          <w:szCs w:val="24"/>
          <w:lang w:eastAsia="zh-CN"/>
        </w:rPr>
        <w:t xml:space="preserve">    根据现场检查要素，派专业人员到院针对现场检查做系统化的培训，并协助进行现场检查资料的审查，查漏补缺，提供专业化的改进建议和实施方案。</w:t>
      </w:r>
    </w:p>
    <w:p>
      <w:pPr>
        <w:autoSpaceDE/>
        <w:autoSpaceDN/>
        <w:spacing w:beforeLines="50" w:afterLines="50" w:line="460" w:lineRule="atLeast"/>
        <w:rPr>
          <w:b/>
          <w:bCs/>
          <w:sz w:val="24"/>
          <w:szCs w:val="24"/>
          <w:lang w:eastAsia="zh-CN"/>
        </w:rPr>
      </w:pPr>
      <w:r>
        <w:rPr>
          <w:rFonts w:hint="eastAsia"/>
          <w:b/>
          <w:bCs/>
          <w:sz w:val="24"/>
          <w:szCs w:val="24"/>
          <w:lang w:eastAsia="zh-CN"/>
        </w:rPr>
        <w:t>四、服务方式</w:t>
      </w:r>
    </w:p>
    <w:p>
      <w:pPr>
        <w:autoSpaceDE/>
        <w:autoSpaceDN/>
        <w:spacing w:beforeLines="50" w:afterLines="50" w:line="460" w:lineRule="atLeast"/>
        <w:ind w:firstLine="480" w:firstLineChars="200"/>
        <w:rPr>
          <w:bCs/>
          <w:sz w:val="24"/>
          <w:szCs w:val="24"/>
          <w:lang w:val="zh-CN" w:eastAsia="zh-CN"/>
        </w:rPr>
      </w:pPr>
      <w:r>
        <w:rPr>
          <w:rFonts w:hint="eastAsia"/>
          <w:bCs/>
          <w:sz w:val="24"/>
          <w:szCs w:val="24"/>
          <w:lang w:eastAsia="zh-CN"/>
        </w:rPr>
        <w:t>根据中国胸痛中心认证时间节点制定推进计划，到院现场指导次数不少于12次，指导服务方式多样化：</w:t>
      </w:r>
      <w:r>
        <w:rPr>
          <w:rFonts w:hint="eastAsia"/>
          <w:bCs/>
          <w:sz w:val="24"/>
          <w:szCs w:val="24"/>
          <w:lang w:val="zh-CN" w:eastAsia="zh-CN"/>
        </w:rPr>
        <w:t>现场</w:t>
      </w:r>
      <w:r>
        <w:rPr>
          <w:rFonts w:hint="eastAsia"/>
          <w:bCs/>
          <w:sz w:val="24"/>
          <w:szCs w:val="24"/>
          <w:lang w:eastAsia="zh-CN"/>
        </w:rPr>
        <w:t>到</w:t>
      </w:r>
      <w:r>
        <w:rPr>
          <w:rFonts w:hint="eastAsia"/>
          <w:bCs/>
          <w:sz w:val="24"/>
          <w:szCs w:val="24"/>
          <w:lang w:val="zh-CN" w:eastAsia="zh-CN"/>
        </w:rPr>
        <w:t>院、现场演示、现场</w:t>
      </w:r>
      <w:r>
        <w:rPr>
          <w:rFonts w:hint="eastAsia"/>
          <w:bCs/>
          <w:sz w:val="24"/>
          <w:szCs w:val="24"/>
          <w:lang w:eastAsia="zh-CN"/>
        </w:rPr>
        <w:t>指导</w:t>
      </w:r>
      <w:r>
        <w:rPr>
          <w:rFonts w:hint="eastAsia"/>
          <w:bCs/>
          <w:sz w:val="24"/>
          <w:szCs w:val="24"/>
          <w:lang w:val="zh-CN" w:eastAsia="zh-CN"/>
        </w:rPr>
        <w:t>、远程视频、远程会议、远程操作、微信、QQ、电话，现场联席会议等</w:t>
      </w:r>
      <w:r>
        <w:rPr>
          <w:rFonts w:hint="eastAsia"/>
          <w:bCs/>
          <w:sz w:val="24"/>
          <w:szCs w:val="24"/>
          <w:lang w:eastAsia="zh-CN"/>
        </w:rPr>
        <w:t>多种形式相结合</w:t>
      </w:r>
      <w:r>
        <w:rPr>
          <w:rFonts w:hint="eastAsia"/>
          <w:bCs/>
          <w:sz w:val="24"/>
          <w:szCs w:val="24"/>
          <w:lang w:val="zh-CN" w:eastAsia="zh-CN"/>
        </w:rPr>
        <w:t>开展</w:t>
      </w:r>
      <w:r>
        <w:rPr>
          <w:rFonts w:hint="eastAsia"/>
          <w:bCs/>
          <w:sz w:val="24"/>
          <w:szCs w:val="24"/>
          <w:lang w:eastAsia="zh-CN"/>
        </w:rPr>
        <w:t>服务</w:t>
      </w:r>
      <w:r>
        <w:rPr>
          <w:rFonts w:hint="eastAsia"/>
          <w:bCs/>
          <w:sz w:val="24"/>
          <w:szCs w:val="24"/>
          <w:lang w:val="zh-CN" w:eastAsia="zh-CN"/>
        </w:rPr>
        <w:t>工作。</w:t>
      </w:r>
    </w:p>
    <w:p>
      <w:pPr>
        <w:pStyle w:val="4"/>
        <w:spacing w:line="460" w:lineRule="atLeast"/>
        <w:ind w:firstLine="1084" w:firstLineChars="300"/>
        <w:rPr>
          <w:rFonts w:ascii="宋体" w:hAnsi="宋体"/>
          <w:kern w:val="2"/>
          <w:sz w:val="36"/>
          <w:szCs w:val="36"/>
          <w:lang w:eastAsia="zh-CN"/>
        </w:rPr>
      </w:pPr>
      <w:r>
        <w:rPr>
          <w:rFonts w:hint="eastAsia" w:ascii="宋体" w:hAnsi="宋体"/>
          <w:kern w:val="2"/>
          <w:sz w:val="36"/>
          <w:szCs w:val="36"/>
          <w:lang w:eastAsia="zh-CN"/>
        </w:rPr>
        <w:t>（二）比选项目商务需求、定标方式</w:t>
      </w:r>
    </w:p>
    <w:p>
      <w:pPr>
        <w:autoSpaceDE/>
        <w:autoSpaceDN/>
        <w:spacing w:beforeLines="50" w:afterLines="50" w:line="460" w:lineRule="atLeast"/>
        <w:rPr>
          <w:b/>
          <w:bCs/>
          <w:sz w:val="24"/>
          <w:szCs w:val="24"/>
          <w:lang w:eastAsia="zh-CN"/>
        </w:rPr>
      </w:pPr>
      <w:r>
        <w:rPr>
          <w:rFonts w:hint="eastAsia"/>
          <w:b/>
          <w:bCs/>
          <w:sz w:val="24"/>
          <w:szCs w:val="24"/>
          <w:lang w:eastAsia="zh-CN"/>
        </w:rPr>
        <w:t>一、服务期限</w:t>
      </w:r>
    </w:p>
    <w:p>
      <w:pPr>
        <w:autoSpaceDE/>
        <w:autoSpaceDN/>
        <w:spacing w:line="460" w:lineRule="atLeast"/>
        <w:rPr>
          <w:rFonts w:cs="楷体"/>
          <w:sz w:val="24"/>
          <w:szCs w:val="24"/>
          <w:lang w:eastAsia="zh-CN"/>
        </w:rPr>
      </w:pPr>
      <w:r>
        <w:rPr>
          <w:rFonts w:hint="eastAsia" w:cs="楷体"/>
          <w:sz w:val="24"/>
          <w:szCs w:val="24"/>
          <w:lang w:eastAsia="zh-CN"/>
        </w:rPr>
        <w:t>从协议签订开始至医院通过国家胸痛中心认证公示结束，时间至少10个月。</w:t>
      </w:r>
    </w:p>
    <w:p>
      <w:pPr>
        <w:autoSpaceDE/>
        <w:autoSpaceDN/>
        <w:spacing w:beforeLines="50" w:afterLines="50" w:line="460" w:lineRule="atLeast"/>
        <w:outlineLvl w:val="1"/>
        <w:rPr>
          <w:b/>
          <w:sz w:val="24"/>
          <w:szCs w:val="24"/>
          <w:lang w:eastAsia="zh-CN"/>
        </w:rPr>
      </w:pPr>
      <w:r>
        <w:rPr>
          <w:rFonts w:hint="eastAsia"/>
          <w:b/>
          <w:sz w:val="24"/>
          <w:szCs w:val="24"/>
          <w:lang w:eastAsia="zh-CN"/>
        </w:rPr>
        <w:t>二、结算方式</w:t>
      </w:r>
    </w:p>
    <w:p>
      <w:pPr>
        <w:spacing w:line="460" w:lineRule="atLeast"/>
        <w:rPr>
          <w:bCs/>
          <w:sz w:val="24"/>
          <w:szCs w:val="24"/>
          <w:lang w:val="zh-CN" w:eastAsia="zh-CN"/>
        </w:rPr>
      </w:pPr>
      <w:r>
        <w:rPr>
          <w:rFonts w:hint="eastAsia"/>
          <w:bCs/>
          <w:sz w:val="24"/>
          <w:szCs w:val="24"/>
          <w:lang w:val="zh-CN" w:eastAsia="zh-CN"/>
        </w:rPr>
        <w:t>付款方式：</w:t>
      </w:r>
      <w:r>
        <w:rPr>
          <w:rFonts w:hint="eastAsia"/>
          <w:bCs/>
          <w:sz w:val="24"/>
          <w:szCs w:val="24"/>
          <w:lang w:eastAsia="zh-CN"/>
        </w:rPr>
        <w:t>签订合同后【7】个工作日内支付中标方合同金额的50%，通过国家胸痛中心认证后【7】个工作日内支付剩余合同金额的50%</w:t>
      </w:r>
      <w:r>
        <w:rPr>
          <w:rFonts w:hint="eastAsia"/>
          <w:bCs/>
          <w:sz w:val="24"/>
          <w:szCs w:val="24"/>
          <w:lang w:val="zh-CN" w:eastAsia="zh-CN"/>
        </w:rPr>
        <w:t>。</w:t>
      </w:r>
    </w:p>
    <w:p>
      <w:pPr>
        <w:autoSpaceDE/>
        <w:autoSpaceDN/>
        <w:spacing w:beforeLines="50" w:afterLines="50" w:line="460" w:lineRule="atLeast"/>
        <w:outlineLvl w:val="1"/>
        <w:rPr>
          <w:b/>
          <w:sz w:val="24"/>
          <w:szCs w:val="24"/>
          <w:lang w:eastAsia="zh-CN"/>
        </w:rPr>
      </w:pPr>
      <w:r>
        <w:rPr>
          <w:rFonts w:hint="eastAsia"/>
          <w:b/>
          <w:sz w:val="24"/>
          <w:szCs w:val="24"/>
          <w:lang w:eastAsia="zh-CN"/>
        </w:rPr>
        <w:t>三、定标方式</w:t>
      </w:r>
    </w:p>
    <w:p>
      <w:pPr>
        <w:spacing w:line="460" w:lineRule="atLeast"/>
        <w:rPr>
          <w:bCs/>
          <w:sz w:val="24"/>
          <w:szCs w:val="24"/>
          <w:lang w:eastAsia="zh-CN"/>
        </w:rPr>
      </w:pPr>
      <w:r>
        <w:rPr>
          <w:rFonts w:hint="eastAsia"/>
          <w:bCs/>
          <w:sz w:val="24"/>
          <w:szCs w:val="24"/>
          <w:lang w:eastAsia="zh-CN"/>
        </w:rPr>
        <w:t>1.资格性审查。依据法律法规和比选文件的规定，对响应文件中的资格证明材料等进行审查。资格性审查内容如下：</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335"/>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b/>
                <w:sz w:val="21"/>
                <w:szCs w:val="21"/>
              </w:rPr>
            </w:pPr>
            <w:r>
              <w:rPr>
                <w:rFonts w:hint="eastAsia" w:ascii="方正仿宋_GBK" w:eastAsia="方正仿宋_GBK"/>
                <w:b/>
                <w:sz w:val="21"/>
                <w:szCs w:val="21"/>
              </w:rPr>
              <w:t>序号</w:t>
            </w:r>
          </w:p>
        </w:tc>
        <w:tc>
          <w:tcPr>
            <w:tcW w:w="30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b/>
                <w:sz w:val="21"/>
                <w:szCs w:val="21"/>
              </w:rPr>
            </w:pPr>
            <w:r>
              <w:rPr>
                <w:rFonts w:hint="eastAsia" w:ascii="方正仿宋_GBK" w:eastAsia="方正仿宋_GBK"/>
                <w:b/>
                <w:sz w:val="21"/>
                <w:szCs w:val="21"/>
              </w:rPr>
              <w:t>检查因素</w:t>
            </w:r>
          </w:p>
        </w:tc>
        <w:tc>
          <w:tcPr>
            <w:tcW w:w="5767"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b/>
                <w:sz w:val="21"/>
                <w:szCs w:val="21"/>
              </w:rPr>
            </w:pPr>
            <w:r>
              <w:rPr>
                <w:rFonts w:hint="eastAsia" w:ascii="方正仿宋_GBK" w:eastAsia="方正仿宋_GBK"/>
                <w:b/>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ascii="方正仿宋_GBK" w:hAnsi="仿宋" w:eastAsia="方正仿宋_GBK"/>
                <w:sz w:val="21"/>
                <w:szCs w:val="21"/>
              </w:rPr>
            </w:pPr>
            <w:r>
              <w:rPr>
                <w:rFonts w:hint="eastAsia" w:ascii="方正仿宋_GBK" w:hAnsi="仿宋" w:eastAsia="方正仿宋_GBK"/>
                <w:sz w:val="21"/>
                <w:szCs w:val="21"/>
              </w:rPr>
              <w:t>（</w:t>
            </w:r>
            <w:r>
              <w:rPr>
                <w:rFonts w:hint="eastAsia" w:ascii="方正仿宋_GBK" w:hAnsi="仿宋" w:eastAsia="方正仿宋_GBK"/>
                <w:sz w:val="21"/>
                <w:szCs w:val="21"/>
                <w:lang w:eastAsia="zh-CN"/>
              </w:rPr>
              <w:t>、</w:t>
            </w:r>
            <w:r>
              <w:rPr>
                <w:rFonts w:hint="eastAsia" w:ascii="方正仿宋_GBK" w:hAnsi="仿宋" w:eastAsia="方正仿宋_GBK"/>
                <w:sz w:val="21"/>
                <w:szCs w:val="21"/>
              </w:rPr>
              <w:t>一）</w:t>
            </w:r>
          </w:p>
        </w:tc>
        <w:tc>
          <w:tcPr>
            <w:tcW w:w="709" w:type="dxa"/>
            <w:vMerge w:val="restart"/>
            <w:vAlign w:val="center"/>
          </w:tcPr>
          <w:p>
            <w:pPr>
              <w:rPr>
                <w:rFonts w:ascii="方正仿宋_GBK" w:hAnsi="仿宋" w:eastAsia="方正仿宋_GBK" w:cs="仿宋_GB2312"/>
                <w:sz w:val="21"/>
                <w:szCs w:val="21"/>
                <w:lang w:val="zh-CN" w:eastAsia="zh-CN"/>
              </w:rPr>
            </w:pPr>
            <w:r>
              <w:rPr>
                <w:rFonts w:hint="eastAsia" w:ascii="方正仿宋_GBK" w:hAnsi="仿宋" w:eastAsia="方正仿宋_GBK" w:cs="仿宋_GB2312"/>
                <w:sz w:val="21"/>
                <w:szCs w:val="21"/>
                <w:lang w:val="zh-CN" w:eastAsia="zh-CN"/>
              </w:rPr>
              <w:t>《中华人民共和国政府采购法》第二十二条规定</w:t>
            </w:r>
          </w:p>
        </w:tc>
        <w:tc>
          <w:tcPr>
            <w:tcW w:w="2335" w:type="dxa"/>
            <w:vAlign w:val="center"/>
          </w:tcPr>
          <w:p>
            <w:pPr>
              <w:rPr>
                <w:rFonts w:ascii="方正仿宋_GBK" w:hAnsi="仿宋" w:eastAsia="方正仿宋_GBK"/>
                <w:sz w:val="21"/>
                <w:szCs w:val="21"/>
                <w:lang w:eastAsia="zh-CN"/>
              </w:rPr>
            </w:pPr>
            <w:r>
              <w:rPr>
                <w:rFonts w:hint="eastAsia" w:ascii="方正仿宋_GBK" w:hAnsi="仿宋" w:eastAsia="方正仿宋_GBK"/>
                <w:sz w:val="21"/>
                <w:szCs w:val="21"/>
                <w:lang w:eastAsia="zh-CN"/>
              </w:rPr>
              <w:t>1.具有独立承担民事责任的能力</w:t>
            </w:r>
          </w:p>
        </w:tc>
        <w:tc>
          <w:tcPr>
            <w:tcW w:w="5767" w:type="dxa"/>
            <w:vAlign w:val="center"/>
          </w:tcPr>
          <w:p>
            <w:pPr>
              <w:rPr>
                <w:rFonts w:ascii="方正仿宋_GBK" w:hAnsi="仿宋" w:eastAsia="方正仿宋_GBK"/>
                <w:sz w:val="21"/>
                <w:szCs w:val="21"/>
                <w:lang w:eastAsia="zh-CN"/>
              </w:rPr>
            </w:pPr>
            <w:r>
              <w:rPr>
                <w:rFonts w:hint="eastAsia" w:ascii="方正仿宋_GBK" w:hAnsi="仿宋" w:eastAsia="方正仿宋_GBK"/>
                <w:sz w:val="21"/>
                <w:szCs w:val="21"/>
                <w:lang w:eastAsia="zh-CN"/>
              </w:rPr>
              <w:t xml:space="preserve">1.供应商法人营业执照（副本）或事业单位法人证书（副本）或个体工商户营业执照或有效的自然人身份证明或社会团体法人登记证书（提供复印件）。 </w:t>
            </w:r>
          </w:p>
          <w:p>
            <w:pPr>
              <w:rPr>
                <w:rFonts w:ascii="方正仿宋_GBK" w:hAnsi="仿宋" w:eastAsia="方正仿宋_GBK"/>
                <w:sz w:val="21"/>
                <w:szCs w:val="21"/>
                <w:lang w:eastAsia="zh-CN"/>
              </w:rPr>
            </w:pPr>
            <w:r>
              <w:rPr>
                <w:rFonts w:hint="eastAsia" w:ascii="方正仿宋_GBK" w:hAnsi="仿宋" w:eastAsia="方正仿宋_GBK"/>
                <w:sz w:val="21"/>
                <w:szCs w:val="21"/>
                <w:lang w:eastAsia="zh-CN"/>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方正仿宋_GBK" w:hAnsi="仿宋" w:eastAsia="方正仿宋_GBK"/>
                <w:sz w:val="21"/>
                <w:szCs w:val="21"/>
                <w:lang w:eastAsia="zh-CN"/>
              </w:rPr>
            </w:pPr>
          </w:p>
        </w:tc>
        <w:tc>
          <w:tcPr>
            <w:tcW w:w="709" w:type="dxa"/>
            <w:vMerge w:val="continue"/>
            <w:vAlign w:val="center"/>
          </w:tcPr>
          <w:p>
            <w:pPr>
              <w:rPr>
                <w:rFonts w:ascii="方正仿宋_GBK" w:hAnsi="仿宋" w:eastAsia="方正仿宋_GBK" w:cs="仿宋_GB2312"/>
                <w:sz w:val="21"/>
                <w:szCs w:val="21"/>
                <w:lang w:val="zh-CN" w:eastAsia="zh-CN"/>
              </w:rPr>
            </w:pPr>
          </w:p>
        </w:tc>
        <w:tc>
          <w:tcPr>
            <w:tcW w:w="2335" w:type="dxa"/>
            <w:vAlign w:val="center"/>
          </w:tcPr>
          <w:p>
            <w:pPr>
              <w:rPr>
                <w:rFonts w:ascii="方正仿宋_GBK" w:hAnsi="仿宋" w:eastAsia="方正仿宋_GBK"/>
                <w:sz w:val="21"/>
                <w:szCs w:val="21"/>
                <w:lang w:eastAsia="zh-CN"/>
              </w:rPr>
            </w:pPr>
            <w:r>
              <w:rPr>
                <w:rFonts w:hint="eastAsia" w:ascii="方正仿宋_GBK" w:hAnsi="仿宋" w:eastAsia="方正仿宋_GBK" w:cs="仿宋_GB2312"/>
                <w:sz w:val="21"/>
                <w:szCs w:val="21"/>
                <w:lang w:val="zh-CN" w:eastAsia="zh-CN"/>
              </w:rPr>
              <w:t>2.</w:t>
            </w:r>
            <w:r>
              <w:rPr>
                <w:rFonts w:hint="eastAsia" w:ascii="方正仿宋_GBK" w:hAnsi="仿宋" w:eastAsia="方正仿宋_GBK"/>
                <w:sz w:val="21"/>
                <w:szCs w:val="21"/>
                <w:lang w:eastAsia="zh-CN"/>
              </w:rPr>
              <w:t>具有良好的商业信誉和健全的财务会计制度</w:t>
            </w:r>
          </w:p>
        </w:tc>
        <w:tc>
          <w:tcPr>
            <w:tcW w:w="5767" w:type="dxa"/>
            <w:vAlign w:val="center"/>
          </w:tcPr>
          <w:p>
            <w:pPr>
              <w:rPr>
                <w:rFonts w:ascii="方正仿宋_GBK" w:hAnsi="仿宋" w:eastAsia="方正仿宋_GBK"/>
                <w:sz w:val="21"/>
                <w:szCs w:val="21"/>
                <w:lang w:eastAsia="zh-CN"/>
              </w:rPr>
            </w:pPr>
            <w:r>
              <w:rPr>
                <w:rFonts w:hint="eastAsia" w:ascii="方正仿宋_GBK" w:hAnsi="仿宋" w:eastAsia="方正仿宋_GBK"/>
                <w:sz w:val="21"/>
                <w:szCs w:val="21"/>
                <w:lang w:eastAsia="zh-CN"/>
              </w:rPr>
              <w:t>1.提供2020年度财务状况报告（表）或其基本开户银行出具的资信证明（提供复印件）。</w:t>
            </w:r>
          </w:p>
          <w:p>
            <w:pPr>
              <w:rPr>
                <w:rFonts w:ascii="方正仿宋_GBK" w:hAnsi="仿宋" w:eastAsia="方正仿宋_GBK"/>
                <w:sz w:val="21"/>
                <w:szCs w:val="21"/>
                <w:lang w:eastAsia="zh-CN"/>
              </w:rPr>
            </w:pPr>
            <w:r>
              <w:rPr>
                <w:rFonts w:hint="eastAsia" w:ascii="方正仿宋_GBK" w:hAnsi="仿宋" w:eastAsia="方正仿宋_GBK"/>
                <w:sz w:val="21"/>
                <w:szCs w:val="21"/>
                <w:lang w:eastAsia="zh-CN"/>
              </w:rPr>
              <w:t>2.本年度新成立或成立不满一年的组织和自然人无法提供财务状况报告（表）的，可提供银行出具的资信证明（提供复印件）。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方正仿宋_GBK" w:hAnsi="仿宋" w:eastAsia="方正仿宋_GBK"/>
                <w:sz w:val="21"/>
                <w:szCs w:val="21"/>
                <w:lang w:eastAsia="zh-CN"/>
              </w:rPr>
            </w:pPr>
          </w:p>
        </w:tc>
        <w:tc>
          <w:tcPr>
            <w:tcW w:w="709" w:type="dxa"/>
            <w:vMerge w:val="continue"/>
            <w:vAlign w:val="center"/>
          </w:tcPr>
          <w:p>
            <w:pPr>
              <w:rPr>
                <w:rFonts w:ascii="方正仿宋_GBK" w:hAnsi="仿宋" w:eastAsia="方正仿宋_GBK" w:cs="仿宋_GB2312"/>
                <w:sz w:val="21"/>
                <w:szCs w:val="21"/>
                <w:lang w:val="zh-CN" w:eastAsia="zh-CN"/>
              </w:rPr>
            </w:pPr>
          </w:p>
        </w:tc>
        <w:tc>
          <w:tcPr>
            <w:tcW w:w="2335" w:type="dxa"/>
            <w:vAlign w:val="center"/>
          </w:tcPr>
          <w:p>
            <w:pPr>
              <w:rPr>
                <w:rFonts w:ascii="方正仿宋_GBK" w:hAnsi="仿宋" w:eastAsia="方正仿宋_GBK" w:cs="仿宋_GB2312"/>
                <w:sz w:val="21"/>
                <w:szCs w:val="21"/>
                <w:lang w:val="zh-CN" w:eastAsia="zh-CN"/>
              </w:rPr>
            </w:pPr>
            <w:r>
              <w:rPr>
                <w:rFonts w:hint="eastAsia" w:ascii="方正仿宋_GBK" w:hAnsi="仿宋" w:eastAsia="方正仿宋_GBK" w:cs="仿宋_GB2312"/>
                <w:sz w:val="21"/>
                <w:szCs w:val="21"/>
                <w:lang w:val="zh-CN" w:eastAsia="zh-CN"/>
              </w:rPr>
              <w:t>3.具有履行合同所必需的设备和专业技术能力</w:t>
            </w:r>
          </w:p>
        </w:tc>
        <w:tc>
          <w:tcPr>
            <w:tcW w:w="5767" w:type="dxa"/>
            <w:vAlign w:val="center"/>
          </w:tcPr>
          <w:p>
            <w:pPr>
              <w:rPr>
                <w:rFonts w:ascii="方正仿宋_GBK" w:hAnsi="仿宋" w:eastAsia="方正仿宋_GBK"/>
                <w:sz w:val="21"/>
                <w:szCs w:val="21"/>
                <w:lang w:eastAsia="zh-CN"/>
              </w:rPr>
            </w:pPr>
            <w:r>
              <w:rPr>
                <w:rFonts w:hint="eastAsia" w:ascii="方正仿宋_GBK" w:hAnsi="仿宋" w:eastAsia="方正仿宋_GBK"/>
                <w:sz w:val="21"/>
                <w:szCs w:val="21"/>
                <w:lang w:eastAsia="zh-CN"/>
              </w:rPr>
              <w:t>供应商提供书面声明或相关证明材料。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方正仿宋_GBK" w:hAnsi="仿宋" w:eastAsia="方正仿宋_GBK"/>
                <w:sz w:val="21"/>
                <w:szCs w:val="21"/>
                <w:lang w:eastAsia="zh-CN"/>
              </w:rPr>
            </w:pPr>
          </w:p>
        </w:tc>
        <w:tc>
          <w:tcPr>
            <w:tcW w:w="709" w:type="dxa"/>
            <w:vMerge w:val="continue"/>
            <w:vAlign w:val="center"/>
          </w:tcPr>
          <w:p>
            <w:pPr>
              <w:rPr>
                <w:rFonts w:ascii="方正仿宋_GBK" w:hAnsi="仿宋" w:eastAsia="方正仿宋_GBK" w:cs="仿宋_GB2312"/>
                <w:sz w:val="21"/>
                <w:szCs w:val="21"/>
                <w:lang w:val="zh-CN" w:eastAsia="zh-CN"/>
              </w:rPr>
            </w:pPr>
          </w:p>
        </w:tc>
        <w:tc>
          <w:tcPr>
            <w:tcW w:w="2335" w:type="dxa"/>
            <w:vAlign w:val="center"/>
          </w:tcPr>
          <w:p>
            <w:pPr>
              <w:rPr>
                <w:rFonts w:ascii="方正仿宋_GBK" w:hAnsi="仿宋" w:eastAsia="方正仿宋_GBK" w:cs="仿宋_GB2312"/>
                <w:sz w:val="21"/>
                <w:szCs w:val="21"/>
                <w:lang w:val="zh-CN" w:eastAsia="zh-CN"/>
              </w:rPr>
            </w:pPr>
            <w:r>
              <w:rPr>
                <w:rFonts w:hint="eastAsia" w:ascii="方正仿宋_GBK" w:hAnsi="仿宋" w:eastAsia="方正仿宋_GBK" w:cs="仿宋_GB2312"/>
                <w:sz w:val="21"/>
                <w:szCs w:val="21"/>
                <w:lang w:val="zh-CN" w:eastAsia="zh-CN"/>
              </w:rPr>
              <w:t>4.有依法缴纳税收的良好记录</w:t>
            </w:r>
          </w:p>
        </w:tc>
        <w:tc>
          <w:tcPr>
            <w:tcW w:w="5767" w:type="dxa"/>
            <w:vAlign w:val="center"/>
          </w:tcPr>
          <w:p>
            <w:pPr>
              <w:rPr>
                <w:rFonts w:ascii="方正仿宋_GBK" w:hAnsi="仿宋" w:eastAsia="方正仿宋_GBK"/>
                <w:sz w:val="21"/>
                <w:szCs w:val="21"/>
                <w:lang w:eastAsia="zh-CN"/>
              </w:rPr>
            </w:pPr>
            <w:r>
              <w:rPr>
                <w:rFonts w:hint="eastAsia" w:ascii="方正仿宋_GBK" w:hAnsi="仿宋" w:eastAsia="方正仿宋_GBK"/>
                <w:sz w:val="21"/>
                <w:szCs w:val="21"/>
                <w:lang w:eastAsia="zh-CN"/>
              </w:rPr>
              <w:t>1.提供2021年12月前12个月内任意一次纳税凭据复印件并加盖供应商公章。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方正仿宋_GBK" w:hAnsi="仿宋" w:eastAsia="方正仿宋_GBK"/>
                <w:sz w:val="21"/>
                <w:szCs w:val="21"/>
                <w:lang w:eastAsia="zh-CN"/>
              </w:rPr>
            </w:pPr>
          </w:p>
        </w:tc>
        <w:tc>
          <w:tcPr>
            <w:tcW w:w="709" w:type="dxa"/>
            <w:vMerge w:val="continue"/>
            <w:vAlign w:val="center"/>
          </w:tcPr>
          <w:p>
            <w:pPr>
              <w:rPr>
                <w:rFonts w:ascii="方正仿宋_GBK" w:hAnsi="仿宋" w:eastAsia="方正仿宋_GBK" w:cs="仿宋_GB2312"/>
                <w:sz w:val="21"/>
                <w:szCs w:val="21"/>
                <w:lang w:val="zh-CN" w:eastAsia="zh-CN"/>
              </w:rPr>
            </w:pPr>
          </w:p>
        </w:tc>
        <w:tc>
          <w:tcPr>
            <w:tcW w:w="2335" w:type="dxa"/>
            <w:vAlign w:val="center"/>
          </w:tcPr>
          <w:p>
            <w:pPr>
              <w:rPr>
                <w:rFonts w:ascii="方正仿宋_GBK" w:hAnsi="仿宋" w:eastAsia="方正仿宋_GBK" w:cs="仿宋_GB2312"/>
                <w:sz w:val="21"/>
                <w:szCs w:val="21"/>
                <w:lang w:val="zh-CN" w:eastAsia="zh-CN"/>
              </w:rPr>
            </w:pPr>
            <w:r>
              <w:rPr>
                <w:rFonts w:hint="eastAsia" w:ascii="方正仿宋_GBK" w:hAnsi="仿宋" w:eastAsia="方正仿宋_GBK"/>
                <w:sz w:val="21"/>
                <w:szCs w:val="21"/>
                <w:lang w:eastAsia="zh-CN"/>
              </w:rPr>
              <w:t>5.参加政府采购活动前三年内，在经营活动中没有重大违法记录</w:t>
            </w:r>
          </w:p>
        </w:tc>
        <w:tc>
          <w:tcPr>
            <w:tcW w:w="5767" w:type="dxa"/>
            <w:vAlign w:val="center"/>
          </w:tcPr>
          <w:p>
            <w:pPr>
              <w:rPr>
                <w:rFonts w:ascii="方正仿宋_GBK" w:hAnsi="仿宋" w:eastAsia="方正仿宋_GBK"/>
                <w:b/>
                <w:sz w:val="21"/>
                <w:szCs w:val="21"/>
                <w:lang w:eastAsia="zh-CN"/>
              </w:rPr>
            </w:pPr>
            <w:r>
              <w:rPr>
                <w:rFonts w:hint="eastAsia" w:ascii="方正仿宋_GBK" w:hAnsi="仿宋" w:eastAsia="方正仿宋_GBK"/>
                <w:b/>
                <w:sz w:val="21"/>
                <w:szCs w:val="21"/>
                <w:lang w:eastAsia="zh-CN"/>
              </w:rPr>
              <w:t>1.供应商提供书面声明（见格式文件）。</w:t>
            </w:r>
          </w:p>
          <w:p>
            <w:pPr>
              <w:rPr>
                <w:rFonts w:ascii="方正仿宋_GBK" w:hAnsi="仿宋" w:eastAsia="方正仿宋_GBK"/>
                <w:b/>
                <w:sz w:val="21"/>
                <w:szCs w:val="21"/>
                <w:lang w:eastAsia="zh-CN"/>
              </w:rPr>
            </w:pPr>
            <w:r>
              <w:rPr>
                <w:rFonts w:hint="eastAsia" w:ascii="方正仿宋_GBK" w:hAnsi="仿宋" w:eastAsia="方正仿宋_GBK"/>
                <w:b/>
                <w:sz w:val="21"/>
                <w:szCs w:val="21"/>
                <w:lang w:eastAsia="zh-CN"/>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ascii="方正仿宋_GBK" w:hAnsi="仿宋" w:eastAsia="方正仿宋_GBK"/>
                <w:sz w:val="21"/>
                <w:szCs w:val="21"/>
                <w:lang w:eastAsia="zh-CN"/>
              </w:rPr>
            </w:pPr>
          </w:p>
        </w:tc>
        <w:tc>
          <w:tcPr>
            <w:tcW w:w="709" w:type="dxa"/>
            <w:vMerge w:val="continue"/>
            <w:vAlign w:val="center"/>
          </w:tcPr>
          <w:p>
            <w:pPr>
              <w:rPr>
                <w:rFonts w:ascii="方正仿宋_GBK" w:hAnsi="仿宋" w:eastAsia="方正仿宋_GBK" w:cs="仿宋_GB2312"/>
                <w:sz w:val="21"/>
                <w:szCs w:val="21"/>
                <w:lang w:eastAsia="zh-CN"/>
              </w:rPr>
            </w:pPr>
          </w:p>
        </w:tc>
        <w:tc>
          <w:tcPr>
            <w:tcW w:w="2335" w:type="dxa"/>
            <w:vAlign w:val="center"/>
          </w:tcPr>
          <w:p>
            <w:pPr>
              <w:rPr>
                <w:rFonts w:ascii="方正仿宋_GBK" w:hAnsi="仿宋" w:eastAsia="方正仿宋_GBK"/>
                <w:sz w:val="21"/>
                <w:szCs w:val="21"/>
                <w:lang w:eastAsia="zh-CN"/>
              </w:rPr>
            </w:pPr>
            <w:r>
              <w:rPr>
                <w:rFonts w:hint="eastAsia" w:ascii="方正仿宋_GBK" w:hAnsi="仿宋" w:eastAsia="方正仿宋_GBK"/>
                <w:sz w:val="21"/>
                <w:szCs w:val="21"/>
                <w:lang w:eastAsia="zh-CN"/>
              </w:rPr>
              <w:t>6.法律、行政法规规定的其他条件</w:t>
            </w:r>
          </w:p>
        </w:tc>
        <w:tc>
          <w:tcPr>
            <w:tcW w:w="5767" w:type="dxa"/>
            <w:vAlign w:val="center"/>
          </w:tcPr>
          <w:p>
            <w:pPr>
              <w:rPr>
                <w:rFonts w:ascii="方正仿宋_GBK" w:hAnsi="仿宋" w:eastAsia="方正仿宋_GBK"/>
                <w:sz w:val="21"/>
                <w:szCs w:val="21"/>
                <w:lang w:eastAsia="zh-CN"/>
              </w:rPr>
            </w:pPr>
            <w:r>
              <w:rPr>
                <w:rFonts w:hint="eastAsia" w:ascii="方正仿宋_GBK" w:hAnsi="仿宋" w:eastAsia="方正仿宋_GBK"/>
                <w:sz w:val="21"/>
                <w:szCs w:val="21"/>
                <w:lang w:eastAsia="zh-CN"/>
              </w:rPr>
              <w:t>其他</w:t>
            </w:r>
          </w:p>
        </w:tc>
      </w:tr>
    </w:tbl>
    <w:p>
      <w:pPr>
        <w:spacing w:line="460" w:lineRule="atLeast"/>
        <w:rPr>
          <w:bCs/>
          <w:sz w:val="24"/>
          <w:szCs w:val="24"/>
          <w:lang w:eastAsia="zh-CN"/>
        </w:rPr>
      </w:pPr>
      <w:r>
        <w:rPr>
          <w:rFonts w:hint="eastAsia"/>
          <w:bCs/>
          <w:sz w:val="24"/>
          <w:szCs w:val="24"/>
          <w:lang w:eastAsia="zh-CN"/>
        </w:rPr>
        <w:t xml:space="preserve">  </w:t>
      </w:r>
    </w:p>
    <w:p>
      <w:pPr>
        <w:spacing w:line="460" w:lineRule="atLeast"/>
        <w:rPr>
          <w:bCs/>
          <w:sz w:val="24"/>
          <w:szCs w:val="24"/>
          <w:lang w:eastAsia="zh-CN"/>
        </w:rPr>
      </w:pPr>
      <w:r>
        <w:rPr>
          <w:rFonts w:hint="eastAsia"/>
          <w:bCs/>
          <w:sz w:val="24"/>
          <w:szCs w:val="24"/>
          <w:lang w:eastAsia="zh-CN"/>
        </w:rPr>
        <w:t>2.综合评分法：</w:t>
      </w:r>
    </w:p>
    <w:tbl>
      <w:tblPr>
        <w:tblStyle w:val="15"/>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35"/>
        <w:gridCol w:w="896"/>
        <w:gridCol w:w="3903"/>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819" w:type="dxa"/>
            <w:vAlign w:val="center"/>
          </w:tcPr>
          <w:p>
            <w:pPr>
              <w:ind w:firstLine="28"/>
              <w:jc w:val="center"/>
              <w:rPr>
                <w:rFonts w:ascii="方正仿宋_GBK" w:eastAsia="方正仿宋_GBK"/>
                <w:b/>
                <w:sz w:val="21"/>
                <w:szCs w:val="21"/>
              </w:rPr>
            </w:pPr>
            <w:r>
              <w:rPr>
                <w:rFonts w:hint="eastAsia" w:ascii="方正仿宋_GBK" w:eastAsia="方正仿宋_GBK"/>
                <w:b/>
                <w:sz w:val="21"/>
                <w:szCs w:val="21"/>
              </w:rPr>
              <w:t>序号</w:t>
            </w:r>
          </w:p>
        </w:tc>
        <w:tc>
          <w:tcPr>
            <w:tcW w:w="1435" w:type="dxa"/>
            <w:vAlign w:val="center"/>
          </w:tcPr>
          <w:p>
            <w:pPr>
              <w:ind w:firstLine="28"/>
              <w:jc w:val="center"/>
              <w:rPr>
                <w:rFonts w:ascii="方正仿宋_GBK" w:eastAsia="方正仿宋_GBK"/>
                <w:b/>
                <w:sz w:val="21"/>
                <w:szCs w:val="21"/>
              </w:rPr>
            </w:pPr>
            <w:r>
              <w:rPr>
                <w:rFonts w:hint="eastAsia" w:ascii="方正仿宋_GBK" w:eastAsia="方正仿宋_GBK"/>
                <w:b/>
                <w:sz w:val="21"/>
                <w:szCs w:val="21"/>
              </w:rPr>
              <w:t>评分因素</w:t>
            </w:r>
          </w:p>
          <w:p>
            <w:pPr>
              <w:ind w:firstLine="28"/>
              <w:jc w:val="center"/>
              <w:rPr>
                <w:rFonts w:ascii="方正仿宋_GBK" w:eastAsia="方正仿宋_GBK"/>
                <w:b/>
                <w:sz w:val="21"/>
                <w:szCs w:val="21"/>
              </w:rPr>
            </w:pPr>
            <w:r>
              <w:rPr>
                <w:rFonts w:hint="eastAsia" w:ascii="方正仿宋_GBK" w:eastAsia="方正仿宋_GBK"/>
                <w:b/>
                <w:sz w:val="21"/>
                <w:szCs w:val="21"/>
              </w:rPr>
              <w:t>及权重</w:t>
            </w:r>
          </w:p>
        </w:tc>
        <w:tc>
          <w:tcPr>
            <w:tcW w:w="896" w:type="dxa"/>
            <w:vAlign w:val="center"/>
          </w:tcPr>
          <w:p>
            <w:pPr>
              <w:ind w:firstLine="28"/>
              <w:jc w:val="center"/>
              <w:rPr>
                <w:rFonts w:ascii="方正仿宋_GBK" w:eastAsia="方正仿宋_GBK"/>
                <w:b/>
                <w:sz w:val="21"/>
                <w:szCs w:val="21"/>
              </w:rPr>
            </w:pPr>
            <w:r>
              <w:rPr>
                <w:rFonts w:hint="eastAsia" w:ascii="方正仿宋_GBK" w:eastAsia="方正仿宋_GBK"/>
                <w:b/>
                <w:sz w:val="21"/>
                <w:szCs w:val="21"/>
              </w:rPr>
              <w:t>分值</w:t>
            </w:r>
          </w:p>
        </w:tc>
        <w:tc>
          <w:tcPr>
            <w:tcW w:w="3903" w:type="dxa"/>
            <w:vAlign w:val="center"/>
          </w:tcPr>
          <w:p>
            <w:pPr>
              <w:ind w:firstLine="28"/>
              <w:jc w:val="center"/>
              <w:rPr>
                <w:rFonts w:ascii="方正仿宋_GBK" w:eastAsia="方正仿宋_GBK"/>
                <w:b/>
                <w:sz w:val="21"/>
                <w:szCs w:val="21"/>
              </w:rPr>
            </w:pPr>
            <w:r>
              <w:rPr>
                <w:rFonts w:hint="eastAsia" w:ascii="方正仿宋_GBK" w:eastAsia="方正仿宋_GBK"/>
                <w:b/>
                <w:sz w:val="21"/>
                <w:szCs w:val="21"/>
              </w:rPr>
              <w:t>评分标准</w:t>
            </w:r>
          </w:p>
        </w:tc>
        <w:tc>
          <w:tcPr>
            <w:tcW w:w="2394" w:type="dxa"/>
            <w:vAlign w:val="center"/>
          </w:tcPr>
          <w:p>
            <w:pPr>
              <w:pStyle w:val="27"/>
              <w:spacing w:before="0" w:after="0" w:line="240" w:lineRule="auto"/>
              <w:rPr>
                <w:rFonts w:ascii="方正仿宋_GBK" w:hAnsi="宋体" w:eastAsia="方正仿宋_GBK"/>
                <w:sz w:val="21"/>
                <w:szCs w:val="21"/>
              </w:rPr>
            </w:pPr>
            <w:r>
              <w:rPr>
                <w:rFonts w:hint="eastAsia" w:ascii="方正仿宋_GBK" w:hAnsi="宋体" w:eastAsia="方正仿宋_GBK"/>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819" w:type="dxa"/>
            <w:vAlign w:val="center"/>
          </w:tcPr>
          <w:p>
            <w:pPr>
              <w:ind w:firstLine="28"/>
              <w:jc w:val="center"/>
              <w:rPr>
                <w:rFonts w:ascii="方正仿宋_GBK" w:eastAsia="方正仿宋_GBK"/>
                <w:sz w:val="21"/>
                <w:szCs w:val="21"/>
              </w:rPr>
            </w:pPr>
            <w:r>
              <w:rPr>
                <w:rFonts w:hint="eastAsia" w:ascii="方正仿宋_GBK" w:eastAsia="方正仿宋_GBK"/>
                <w:sz w:val="21"/>
                <w:szCs w:val="21"/>
              </w:rPr>
              <w:t>1</w:t>
            </w:r>
          </w:p>
        </w:tc>
        <w:tc>
          <w:tcPr>
            <w:tcW w:w="1435" w:type="dxa"/>
            <w:vAlign w:val="center"/>
          </w:tcPr>
          <w:p>
            <w:pPr>
              <w:ind w:firstLine="28"/>
              <w:jc w:val="center"/>
              <w:rPr>
                <w:rFonts w:ascii="方正仿宋_GBK" w:eastAsia="方正仿宋_GBK"/>
                <w:sz w:val="21"/>
                <w:szCs w:val="21"/>
              </w:rPr>
            </w:pPr>
            <w:r>
              <w:rPr>
                <w:rFonts w:hint="eastAsia" w:ascii="方正仿宋_GBK" w:eastAsia="方正仿宋_GBK"/>
                <w:sz w:val="21"/>
                <w:szCs w:val="21"/>
              </w:rPr>
              <w:t>投标报价</w:t>
            </w:r>
          </w:p>
          <w:p>
            <w:pPr>
              <w:ind w:firstLine="28"/>
              <w:jc w:val="center"/>
              <w:rPr>
                <w:rFonts w:ascii="方正仿宋_GBK" w:eastAsia="方正仿宋_GBK"/>
                <w:sz w:val="21"/>
                <w:szCs w:val="21"/>
              </w:rPr>
            </w:pPr>
            <w:r>
              <w:rPr>
                <w:rFonts w:hint="eastAsia" w:ascii="方正仿宋_GBK" w:eastAsia="方正仿宋_GBK"/>
                <w:sz w:val="21"/>
                <w:szCs w:val="21"/>
              </w:rPr>
              <w:t>（</w:t>
            </w:r>
            <w:r>
              <w:rPr>
                <w:rFonts w:hint="eastAsia" w:ascii="方正仿宋_GBK" w:eastAsia="方正仿宋_GBK"/>
                <w:sz w:val="21"/>
                <w:szCs w:val="21"/>
                <w:lang w:eastAsia="zh-CN"/>
              </w:rPr>
              <w:t>50</w:t>
            </w:r>
            <w:r>
              <w:rPr>
                <w:rFonts w:hint="eastAsia" w:ascii="方正仿宋_GBK" w:eastAsia="方正仿宋_GBK"/>
                <w:sz w:val="21"/>
                <w:szCs w:val="21"/>
              </w:rPr>
              <w:t>%）</w:t>
            </w:r>
          </w:p>
        </w:tc>
        <w:tc>
          <w:tcPr>
            <w:tcW w:w="896" w:type="dxa"/>
            <w:vAlign w:val="center"/>
          </w:tcPr>
          <w:p>
            <w:pPr>
              <w:ind w:firstLine="28"/>
              <w:jc w:val="center"/>
              <w:rPr>
                <w:rFonts w:ascii="方正仿宋_GBK" w:eastAsia="方正仿宋_GBK"/>
                <w:sz w:val="21"/>
                <w:szCs w:val="21"/>
                <w:lang w:eastAsia="zh-CN"/>
              </w:rPr>
            </w:pPr>
            <w:r>
              <w:rPr>
                <w:rFonts w:hint="eastAsia" w:ascii="方正仿宋_GBK" w:eastAsia="方正仿宋_GBK"/>
                <w:sz w:val="21"/>
                <w:szCs w:val="21"/>
                <w:lang w:eastAsia="zh-CN"/>
              </w:rPr>
              <w:t>50分</w:t>
            </w:r>
          </w:p>
        </w:tc>
        <w:tc>
          <w:tcPr>
            <w:tcW w:w="3903" w:type="dxa"/>
            <w:vAlign w:val="center"/>
          </w:tcPr>
          <w:p>
            <w:pPr>
              <w:rPr>
                <w:rFonts w:ascii="方正仿宋_GBK" w:eastAsia="方正仿宋_GBK"/>
                <w:sz w:val="21"/>
                <w:szCs w:val="21"/>
              </w:rPr>
            </w:pPr>
            <w:r>
              <w:rPr>
                <w:rFonts w:hint="eastAsia" w:ascii="方正仿宋_GBK" w:eastAsia="方正仿宋_GBK"/>
                <w:sz w:val="21"/>
                <w:szCs w:val="21"/>
              </w:rPr>
              <w:t>有效的投标报价中的最低价为评标基准价，其价格分为满分。其他投标人的价格分统一按照下列公式计算：</w:t>
            </w:r>
          </w:p>
          <w:p>
            <w:pPr>
              <w:rPr>
                <w:rFonts w:ascii="方正仿宋_GBK" w:eastAsia="方正仿宋_GBK"/>
                <w:sz w:val="21"/>
                <w:szCs w:val="21"/>
              </w:rPr>
            </w:pPr>
            <w:r>
              <w:rPr>
                <w:rFonts w:hint="eastAsia" w:ascii="方正仿宋_GBK" w:eastAsia="方正仿宋_GBK"/>
                <w:sz w:val="21"/>
                <w:szCs w:val="21"/>
              </w:rPr>
              <w:t>投标报价得分＝（评标基准价/投标报价）×价格权重×100。</w:t>
            </w:r>
          </w:p>
        </w:tc>
        <w:tc>
          <w:tcPr>
            <w:tcW w:w="2394" w:type="dxa"/>
            <w:vAlign w:val="center"/>
          </w:tcPr>
          <w:p>
            <w:pPr>
              <w:ind w:left="-38"/>
              <w:rPr>
                <w:rFonts w:ascii="方正仿宋_GBK"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819" w:type="dxa"/>
            <w:vAlign w:val="center"/>
          </w:tcPr>
          <w:p>
            <w:pPr>
              <w:ind w:firstLine="28"/>
              <w:jc w:val="center"/>
              <w:rPr>
                <w:rFonts w:ascii="方正仿宋_GBK" w:eastAsia="方正仿宋_GBK"/>
                <w:sz w:val="21"/>
                <w:szCs w:val="21"/>
                <w:lang w:eastAsia="zh-CN"/>
              </w:rPr>
            </w:pPr>
            <w:r>
              <w:rPr>
                <w:rFonts w:hint="eastAsia" w:ascii="方正仿宋_GBK" w:eastAsia="方正仿宋_GBK"/>
                <w:sz w:val="21"/>
                <w:szCs w:val="21"/>
                <w:lang w:eastAsia="zh-CN"/>
              </w:rPr>
              <w:t>2</w:t>
            </w:r>
          </w:p>
        </w:tc>
        <w:tc>
          <w:tcPr>
            <w:tcW w:w="1435" w:type="dxa"/>
            <w:vAlign w:val="center"/>
          </w:tcPr>
          <w:p>
            <w:pPr>
              <w:ind w:firstLine="28"/>
              <w:jc w:val="center"/>
              <w:rPr>
                <w:rFonts w:ascii="方正仿宋_GBK" w:eastAsia="方正仿宋_GBK"/>
                <w:sz w:val="21"/>
                <w:szCs w:val="21"/>
              </w:rPr>
            </w:pPr>
            <w:r>
              <w:rPr>
                <w:rFonts w:hint="eastAsia" w:ascii="方正仿宋_GBK" w:eastAsia="方正仿宋_GBK"/>
                <w:sz w:val="21"/>
                <w:szCs w:val="21"/>
              </w:rPr>
              <w:t>商务部分</w:t>
            </w:r>
          </w:p>
          <w:p>
            <w:pPr>
              <w:ind w:firstLine="28"/>
              <w:jc w:val="center"/>
              <w:rPr>
                <w:rFonts w:ascii="方正仿宋_GBK" w:eastAsia="方正仿宋_GBK"/>
                <w:sz w:val="21"/>
                <w:szCs w:val="21"/>
              </w:rPr>
            </w:pPr>
            <w:r>
              <w:rPr>
                <w:rFonts w:hint="eastAsia" w:ascii="方正仿宋_GBK" w:eastAsia="方正仿宋_GBK"/>
                <w:sz w:val="21"/>
                <w:szCs w:val="21"/>
              </w:rPr>
              <w:t>（</w:t>
            </w:r>
            <w:r>
              <w:rPr>
                <w:rFonts w:hint="eastAsia" w:ascii="方正仿宋_GBK" w:eastAsia="方正仿宋_GBK"/>
                <w:sz w:val="21"/>
                <w:szCs w:val="21"/>
                <w:lang w:eastAsia="zh-CN"/>
              </w:rPr>
              <w:t>50</w:t>
            </w:r>
            <w:r>
              <w:rPr>
                <w:rFonts w:hint="eastAsia" w:ascii="方正仿宋_GBK" w:eastAsia="方正仿宋_GBK"/>
                <w:sz w:val="21"/>
                <w:szCs w:val="21"/>
              </w:rPr>
              <w:t>%）</w:t>
            </w:r>
          </w:p>
        </w:tc>
        <w:tc>
          <w:tcPr>
            <w:tcW w:w="896" w:type="dxa"/>
            <w:vAlign w:val="center"/>
          </w:tcPr>
          <w:p>
            <w:pPr>
              <w:ind w:firstLine="28"/>
              <w:jc w:val="center"/>
              <w:rPr>
                <w:rFonts w:ascii="方正仿宋_GBK" w:eastAsia="方正仿宋_GBK"/>
                <w:sz w:val="21"/>
                <w:szCs w:val="21"/>
                <w:lang w:eastAsia="zh-CN"/>
              </w:rPr>
            </w:pPr>
            <w:r>
              <w:rPr>
                <w:rFonts w:hint="eastAsia" w:ascii="方正仿宋_GBK" w:eastAsia="方正仿宋_GBK"/>
                <w:sz w:val="21"/>
                <w:szCs w:val="21"/>
                <w:lang w:eastAsia="zh-CN"/>
              </w:rPr>
              <w:t>50分</w:t>
            </w:r>
          </w:p>
        </w:tc>
        <w:tc>
          <w:tcPr>
            <w:tcW w:w="3903" w:type="dxa"/>
            <w:vAlign w:val="center"/>
          </w:tcPr>
          <w:p>
            <w:pPr>
              <w:rPr>
                <w:rFonts w:ascii="方正仿宋_GBK" w:eastAsia="方正仿宋_GBK"/>
                <w:sz w:val="21"/>
                <w:szCs w:val="21"/>
                <w:lang w:eastAsia="zh-CN"/>
              </w:rPr>
            </w:pPr>
            <w:r>
              <w:rPr>
                <w:rFonts w:hint="eastAsia" w:ascii="方正仿宋_GBK" w:eastAsia="方正仿宋_GBK"/>
                <w:b/>
                <w:sz w:val="21"/>
                <w:szCs w:val="21"/>
              </w:rPr>
              <w:t>1</w:t>
            </w:r>
            <w:r>
              <w:rPr>
                <w:rFonts w:hint="eastAsia" w:ascii="方正仿宋_GBK" w:eastAsia="方正仿宋_GBK"/>
                <w:sz w:val="21"/>
                <w:szCs w:val="21"/>
              </w:rPr>
              <w:t>.数据指导讲解，优得</w:t>
            </w:r>
            <w:r>
              <w:rPr>
                <w:rFonts w:hint="eastAsia" w:ascii="方正仿宋_GBK" w:eastAsia="方正仿宋_GBK"/>
                <w:sz w:val="21"/>
                <w:szCs w:val="21"/>
                <w:lang w:eastAsia="zh-CN"/>
              </w:rPr>
              <w:t>10 -15分，良得5-9分，一般得1-4分。</w:t>
            </w:r>
          </w:p>
          <w:p>
            <w:pPr>
              <w:rPr>
                <w:rFonts w:ascii="方正仿宋_GBK" w:eastAsia="方正仿宋_GBK"/>
                <w:sz w:val="21"/>
                <w:szCs w:val="21"/>
                <w:lang w:eastAsia="zh-CN"/>
              </w:rPr>
            </w:pPr>
            <w:r>
              <w:rPr>
                <w:rFonts w:hint="eastAsia" w:ascii="方正仿宋_GBK" w:eastAsia="方正仿宋_GBK"/>
                <w:b/>
                <w:sz w:val="21"/>
                <w:szCs w:val="21"/>
              </w:rPr>
              <w:t>2.</w:t>
            </w:r>
            <w:r>
              <w:rPr>
                <w:rFonts w:hint="eastAsia" w:ascii="方正仿宋_GBK" w:eastAsia="方正仿宋_GBK"/>
                <w:sz w:val="21"/>
                <w:szCs w:val="21"/>
              </w:rPr>
              <w:t>数据内审预审，优得</w:t>
            </w:r>
            <w:r>
              <w:rPr>
                <w:rFonts w:hint="eastAsia" w:ascii="方正仿宋_GBK" w:eastAsia="方正仿宋_GBK"/>
                <w:sz w:val="21"/>
                <w:szCs w:val="21"/>
                <w:lang w:eastAsia="zh-CN"/>
              </w:rPr>
              <w:t>10 -15分，良得5-9分，一般得1-4分。</w:t>
            </w:r>
          </w:p>
          <w:p>
            <w:pPr>
              <w:rPr>
                <w:rFonts w:ascii="方正仿宋_GBK" w:eastAsia="方正仿宋_GBK"/>
                <w:sz w:val="21"/>
                <w:szCs w:val="21"/>
                <w:lang w:eastAsia="zh-CN"/>
              </w:rPr>
            </w:pPr>
            <w:r>
              <w:rPr>
                <w:rFonts w:hint="eastAsia" w:ascii="方正仿宋_GBK" w:eastAsia="方正仿宋_GBK"/>
                <w:b/>
                <w:sz w:val="21"/>
                <w:szCs w:val="21"/>
              </w:rPr>
              <w:t>3.</w:t>
            </w:r>
            <w:r>
              <w:rPr>
                <w:rFonts w:hint="eastAsia" w:ascii="方正仿宋_GBK" w:eastAsia="方正仿宋_GBK"/>
                <w:sz w:val="21"/>
                <w:szCs w:val="21"/>
              </w:rPr>
              <w:t>120演练和培训</w:t>
            </w:r>
            <w:r>
              <w:rPr>
                <w:rFonts w:hint="eastAsia" w:ascii="方正仿宋_GBK" w:eastAsia="方正仿宋_GBK"/>
                <w:sz w:val="21"/>
                <w:szCs w:val="21"/>
                <w:lang w:eastAsia="zh-CN"/>
              </w:rPr>
              <w:t>，</w:t>
            </w:r>
            <w:r>
              <w:rPr>
                <w:rFonts w:hint="eastAsia" w:ascii="方正仿宋_GBK" w:eastAsia="方正仿宋_GBK"/>
                <w:sz w:val="21"/>
                <w:szCs w:val="21"/>
              </w:rPr>
              <w:t>优得</w:t>
            </w:r>
            <w:r>
              <w:rPr>
                <w:rFonts w:hint="eastAsia" w:ascii="方正仿宋_GBK" w:eastAsia="方正仿宋_GBK"/>
                <w:sz w:val="21"/>
                <w:szCs w:val="21"/>
                <w:lang w:eastAsia="zh-CN"/>
              </w:rPr>
              <w:t>10 -15分，良得5-9分，一般得1-4分。</w:t>
            </w:r>
          </w:p>
          <w:p>
            <w:pPr>
              <w:rPr>
                <w:rFonts w:ascii="方正仿宋_GBK" w:eastAsia="方正仿宋_GBK"/>
                <w:sz w:val="21"/>
                <w:szCs w:val="21"/>
                <w:lang w:eastAsia="zh-CN"/>
              </w:rPr>
            </w:pPr>
            <w:r>
              <w:rPr>
                <w:rFonts w:hint="eastAsia" w:ascii="方正仿宋_GBK" w:eastAsia="方正仿宋_GBK"/>
                <w:b/>
                <w:sz w:val="21"/>
                <w:szCs w:val="21"/>
                <w:lang w:eastAsia="zh-CN"/>
              </w:rPr>
              <w:t>4.</w:t>
            </w:r>
            <w:r>
              <w:rPr>
                <w:rFonts w:hint="eastAsia" w:ascii="方正仿宋_GBK" w:eastAsia="方正仿宋_GBK"/>
                <w:sz w:val="21"/>
                <w:szCs w:val="21"/>
                <w:lang w:eastAsia="zh-CN"/>
              </w:rPr>
              <w:t>项目业绩：有类似业绩1个得1分，最多得5分。</w:t>
            </w:r>
          </w:p>
          <w:p>
            <w:pPr>
              <w:rPr>
                <w:rFonts w:ascii="方正仿宋_GBK" w:eastAsia="方正仿宋_GBK"/>
                <w:sz w:val="21"/>
                <w:szCs w:val="21"/>
                <w:lang w:eastAsia="zh-CN"/>
              </w:rPr>
            </w:pPr>
          </w:p>
          <w:p>
            <w:pPr>
              <w:pStyle w:val="2"/>
              <w:rPr>
                <w:lang w:eastAsia="zh-CN"/>
              </w:rPr>
            </w:pPr>
          </w:p>
          <w:p>
            <w:pPr>
              <w:rPr>
                <w:rFonts w:ascii="方正仿宋_GBK" w:eastAsia="方正仿宋_GBK"/>
                <w:sz w:val="21"/>
                <w:szCs w:val="21"/>
              </w:rPr>
            </w:pPr>
          </w:p>
        </w:tc>
        <w:tc>
          <w:tcPr>
            <w:tcW w:w="2394" w:type="dxa"/>
            <w:vAlign w:val="center"/>
          </w:tcPr>
          <w:p>
            <w:pPr>
              <w:ind w:left="-38"/>
              <w:rPr>
                <w:rFonts w:ascii="方正仿宋_GBK" w:eastAsia="方正仿宋_GBK"/>
                <w:sz w:val="21"/>
                <w:szCs w:val="21"/>
                <w:lang w:eastAsia="zh-CN"/>
              </w:rPr>
            </w:pPr>
            <w:r>
              <w:rPr>
                <w:rFonts w:hint="eastAsia" w:ascii="方正仿宋_GBK" w:eastAsia="方正仿宋_GBK"/>
                <w:sz w:val="21"/>
                <w:szCs w:val="21"/>
                <w:lang w:eastAsia="zh-CN"/>
              </w:rPr>
              <w:t>院内评审专家酌情打分。</w:t>
            </w:r>
          </w:p>
        </w:tc>
      </w:tr>
    </w:tbl>
    <w:p>
      <w:pPr>
        <w:pStyle w:val="2"/>
        <w:rPr>
          <w:rFonts w:cs="楷体"/>
          <w:spacing w:val="0"/>
          <w:kern w:val="0"/>
          <w:sz w:val="24"/>
          <w:szCs w:val="24"/>
          <w:lang w:eastAsia="zh-CN"/>
        </w:rPr>
      </w:pPr>
    </w:p>
    <w:p>
      <w:pPr>
        <w:spacing w:line="460" w:lineRule="atLeast"/>
        <w:rPr>
          <w:bCs/>
          <w:sz w:val="24"/>
          <w:szCs w:val="24"/>
          <w:lang w:eastAsia="zh-CN"/>
        </w:rPr>
      </w:pPr>
      <w:r>
        <w:rPr>
          <w:rFonts w:hint="eastAsia"/>
          <w:bCs/>
          <w:sz w:val="24"/>
          <w:szCs w:val="24"/>
          <w:lang w:eastAsia="zh-CN"/>
        </w:rPr>
        <w:t>3.其他部分：投标文件供应商自编。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1A7D55C0"/>
    <w:rsid w:val="00004A68"/>
    <w:rsid w:val="00013290"/>
    <w:rsid w:val="00020F51"/>
    <w:rsid w:val="000C4FE8"/>
    <w:rsid w:val="00104B6B"/>
    <w:rsid w:val="00114519"/>
    <w:rsid w:val="001C09FD"/>
    <w:rsid w:val="00220232"/>
    <w:rsid w:val="00296CA1"/>
    <w:rsid w:val="002B508E"/>
    <w:rsid w:val="00311E06"/>
    <w:rsid w:val="00336A28"/>
    <w:rsid w:val="00343F16"/>
    <w:rsid w:val="00386CF0"/>
    <w:rsid w:val="003F0F35"/>
    <w:rsid w:val="00422B7F"/>
    <w:rsid w:val="00496DFC"/>
    <w:rsid w:val="004F0931"/>
    <w:rsid w:val="00522DEF"/>
    <w:rsid w:val="005F026F"/>
    <w:rsid w:val="0066360B"/>
    <w:rsid w:val="00677C31"/>
    <w:rsid w:val="006E16BF"/>
    <w:rsid w:val="006F426A"/>
    <w:rsid w:val="0074570F"/>
    <w:rsid w:val="007C174C"/>
    <w:rsid w:val="008011A3"/>
    <w:rsid w:val="008E3C12"/>
    <w:rsid w:val="00923896"/>
    <w:rsid w:val="00926E71"/>
    <w:rsid w:val="009A496B"/>
    <w:rsid w:val="00B16E6E"/>
    <w:rsid w:val="00B36EEA"/>
    <w:rsid w:val="00BA1F0E"/>
    <w:rsid w:val="00C0466A"/>
    <w:rsid w:val="00CD2152"/>
    <w:rsid w:val="00DF6745"/>
    <w:rsid w:val="00E139C3"/>
    <w:rsid w:val="00E21299"/>
    <w:rsid w:val="00E231BC"/>
    <w:rsid w:val="00E83733"/>
    <w:rsid w:val="00EC03B9"/>
    <w:rsid w:val="00F04AE2"/>
    <w:rsid w:val="00F1300A"/>
    <w:rsid w:val="00F2464A"/>
    <w:rsid w:val="02B15342"/>
    <w:rsid w:val="0F757A9E"/>
    <w:rsid w:val="124D449C"/>
    <w:rsid w:val="175033DC"/>
    <w:rsid w:val="18AD216D"/>
    <w:rsid w:val="18EC1D88"/>
    <w:rsid w:val="19C534ED"/>
    <w:rsid w:val="1A7D55C0"/>
    <w:rsid w:val="237F470C"/>
    <w:rsid w:val="266B7489"/>
    <w:rsid w:val="269B5930"/>
    <w:rsid w:val="288A75D6"/>
    <w:rsid w:val="36466600"/>
    <w:rsid w:val="4E4434DE"/>
    <w:rsid w:val="53BF32E5"/>
    <w:rsid w:val="56C928DA"/>
    <w:rsid w:val="57356638"/>
    <w:rsid w:val="586C0E7D"/>
    <w:rsid w:val="5DAA3E48"/>
    <w:rsid w:val="5F5365A7"/>
    <w:rsid w:val="63C63565"/>
    <w:rsid w:val="690C2FFC"/>
    <w:rsid w:val="6B68281B"/>
    <w:rsid w:val="78EA70A7"/>
    <w:rsid w:val="78F85C12"/>
    <w:rsid w:val="7FF579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1"/>
    <w:basedOn w:val="1"/>
    <w:next w:val="1"/>
    <w:qFormat/>
    <w:uiPriority w:val="99"/>
    <w:pPr>
      <w:keepNext/>
      <w:outlineLvl w:val="0"/>
    </w:pPr>
    <w:rPr>
      <w:rFonts w:ascii="Cambria" w:hAnsi="Cambria"/>
      <w:b/>
      <w:bCs/>
      <w:kern w:val="32"/>
      <w:sz w:val="32"/>
      <w:szCs w:val="32"/>
    </w:rPr>
  </w:style>
  <w:style w:type="paragraph" w:styleId="5">
    <w:name w:val="heading 2"/>
    <w:basedOn w:val="1"/>
    <w:next w:val="1"/>
    <w:link w:val="2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4"/>
    <w:semiHidden/>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spacing w:val="-42"/>
      <w:sz w:val="21"/>
    </w:rPr>
  </w:style>
  <w:style w:type="paragraph" w:styleId="3">
    <w:name w:val="Body Text"/>
    <w:basedOn w:val="1"/>
    <w:next w:val="1"/>
    <w:qFormat/>
    <w:uiPriority w:val="0"/>
    <w:rPr>
      <w:kern w:val="1"/>
      <w:sz w:val="30"/>
    </w:rPr>
  </w:style>
  <w:style w:type="paragraph" w:styleId="7">
    <w:name w:val="annotation text"/>
    <w:basedOn w:val="1"/>
    <w:link w:val="26"/>
    <w:uiPriority w:val="0"/>
    <w:pPr>
      <w:widowControl/>
      <w:tabs>
        <w:tab w:val="left" w:pos="1134"/>
      </w:tabs>
      <w:autoSpaceDE/>
      <w:autoSpaceDN/>
      <w:adjustRightInd w:val="0"/>
      <w:snapToGrid w:val="0"/>
      <w:spacing w:line="280" w:lineRule="atLeast"/>
    </w:pPr>
    <w:rPr>
      <w:rFonts w:ascii="Times New Roman" w:hAnsi="Times New Roman" w:eastAsia="PMingLiU" w:cs="Times New Roman"/>
      <w:sz w:val="24"/>
      <w:szCs w:val="20"/>
      <w:lang w:eastAsia="zh-TW"/>
    </w:rPr>
  </w:style>
  <w:style w:type="paragraph" w:styleId="8">
    <w:name w:val="Body Text Indent"/>
    <w:basedOn w:val="1"/>
    <w:next w:val="9"/>
    <w:qFormat/>
    <w:uiPriority w:val="0"/>
    <w:pPr>
      <w:ind w:firstLine="640" w:firstLineChars="200"/>
    </w:pPr>
    <w:rPr>
      <w:rFonts w:ascii="仿宋_GB2312" w:eastAsia="仿宋_GB2312"/>
      <w:sz w:val="32"/>
      <w:szCs w:val="20"/>
    </w:rPr>
  </w:style>
  <w:style w:type="paragraph" w:customStyle="1" w:styleId="9">
    <w:name w:val="font5"/>
    <w:basedOn w:val="1"/>
    <w:qFormat/>
    <w:uiPriority w:val="0"/>
    <w:pPr>
      <w:widowControl/>
      <w:spacing w:before="100" w:beforeAutospacing="1" w:after="100" w:afterAutospacing="1"/>
    </w:pPr>
    <w:rPr>
      <w:sz w:val="18"/>
      <w:szCs w:val="18"/>
    </w:rPr>
  </w:style>
  <w:style w:type="paragraph" w:styleId="10">
    <w:name w:val="Balloon Text"/>
    <w:basedOn w:val="1"/>
    <w:link w:val="28"/>
    <w:uiPriority w:val="0"/>
    <w:rPr>
      <w:sz w:val="18"/>
      <w:szCs w:val="18"/>
    </w:rPr>
  </w:style>
  <w:style w:type="paragraph" w:styleId="11">
    <w:name w:val="footer"/>
    <w:basedOn w:val="1"/>
    <w:link w:val="22"/>
    <w:qFormat/>
    <w:uiPriority w:val="0"/>
    <w:pPr>
      <w:tabs>
        <w:tab w:val="center" w:pos="4153"/>
        <w:tab w:val="right" w:pos="8306"/>
      </w:tabs>
      <w:snapToGrid w:val="0"/>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pPr>
    <w:rPr>
      <w:sz w:val="24"/>
      <w:szCs w:val="24"/>
    </w:rPr>
  </w:style>
  <w:style w:type="paragraph" w:styleId="14">
    <w:name w:val="Body Text First Indent 2"/>
    <w:basedOn w:val="8"/>
    <w:unhideWhenUsed/>
    <w:qFormat/>
    <w:uiPriority w:val="99"/>
    <w:pPr>
      <w:ind w:left="420" w:firstLine="420"/>
    </w:pPr>
  </w:style>
  <w:style w:type="paragraph" w:customStyle="1" w:styleId="17">
    <w:name w:val="标题 5（有编号）（绿盟科技）"/>
    <w:basedOn w:val="1"/>
    <w:next w:val="18"/>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styleId="19">
    <w:name w:val="List Paragraph"/>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
    <w:name w:val="NormalCharacter"/>
    <w:qFormat/>
    <w:uiPriority w:val="0"/>
    <w:rPr>
      <w:rFonts w:ascii="宋体" w:hAnsi="宋体" w:eastAsia="宋体" w:cs="宋体"/>
      <w:sz w:val="22"/>
      <w:szCs w:val="22"/>
      <w:lang w:val="en-US" w:eastAsia="en-US" w:bidi="ar-SA"/>
    </w:rPr>
  </w:style>
  <w:style w:type="character" w:customStyle="1" w:styleId="21">
    <w:name w:val="页眉 Char"/>
    <w:basedOn w:val="16"/>
    <w:link w:val="12"/>
    <w:qFormat/>
    <w:uiPriority w:val="0"/>
    <w:rPr>
      <w:rFonts w:ascii="宋体" w:hAnsi="宋体" w:cs="宋体"/>
      <w:sz w:val="18"/>
      <w:szCs w:val="18"/>
      <w:lang w:eastAsia="en-US"/>
    </w:rPr>
  </w:style>
  <w:style w:type="character" w:customStyle="1" w:styleId="22">
    <w:name w:val="页脚 Char"/>
    <w:basedOn w:val="16"/>
    <w:link w:val="11"/>
    <w:qFormat/>
    <w:uiPriority w:val="0"/>
    <w:rPr>
      <w:rFonts w:ascii="宋体" w:hAnsi="宋体" w:cs="宋体"/>
      <w:sz w:val="18"/>
      <w:szCs w:val="18"/>
      <w:lang w:eastAsia="en-US"/>
    </w:rPr>
  </w:style>
  <w:style w:type="character" w:customStyle="1" w:styleId="23">
    <w:name w:val="标题 2 Char"/>
    <w:basedOn w:val="16"/>
    <w:link w:val="5"/>
    <w:uiPriority w:val="0"/>
    <w:rPr>
      <w:rFonts w:asciiTheme="majorHAnsi" w:hAnsiTheme="majorHAnsi" w:eastAsiaTheme="majorEastAsia" w:cstheme="majorBidi"/>
      <w:b/>
      <w:bCs/>
      <w:sz w:val="32"/>
      <w:szCs w:val="32"/>
      <w:lang w:eastAsia="en-US"/>
    </w:rPr>
  </w:style>
  <w:style w:type="character" w:customStyle="1" w:styleId="24">
    <w:name w:val="标题 3 Char"/>
    <w:basedOn w:val="16"/>
    <w:link w:val="6"/>
    <w:semiHidden/>
    <w:uiPriority w:val="0"/>
    <w:rPr>
      <w:rFonts w:ascii="宋体" w:hAnsi="宋体" w:cs="宋体"/>
      <w:b/>
      <w:bCs/>
      <w:sz w:val="32"/>
      <w:szCs w:val="32"/>
      <w:lang w:eastAsia="en-US"/>
    </w:rPr>
  </w:style>
  <w:style w:type="character" w:customStyle="1" w:styleId="25">
    <w:name w:val="批注文字 Char"/>
    <w:link w:val="7"/>
    <w:uiPriority w:val="0"/>
    <w:rPr>
      <w:rFonts w:eastAsia="PMingLiU"/>
      <w:sz w:val="24"/>
      <w:lang w:eastAsia="zh-TW"/>
    </w:rPr>
  </w:style>
  <w:style w:type="character" w:customStyle="1" w:styleId="26">
    <w:name w:val="批注文字 Char1"/>
    <w:basedOn w:val="16"/>
    <w:link w:val="7"/>
    <w:semiHidden/>
    <w:uiPriority w:val="0"/>
    <w:rPr>
      <w:rFonts w:ascii="宋体" w:hAnsi="宋体" w:cs="宋体"/>
      <w:sz w:val="22"/>
      <w:szCs w:val="22"/>
      <w:lang w:eastAsia="en-US"/>
    </w:rPr>
  </w:style>
  <w:style w:type="paragraph" w:customStyle="1" w:styleId="27">
    <w:name w:val="图例"/>
    <w:basedOn w:val="1"/>
    <w:uiPriority w:val="0"/>
    <w:pPr>
      <w:autoSpaceDE/>
      <w:autoSpaceDN/>
      <w:spacing w:before="120" w:after="120" w:line="360" w:lineRule="auto"/>
      <w:jc w:val="center"/>
    </w:pPr>
    <w:rPr>
      <w:rFonts w:ascii="Times New Roman" w:hAnsi="Times New Roman" w:eastAsia="仿宋_GB2312" w:cs="Times New Roman"/>
      <w:b/>
      <w:kern w:val="2"/>
      <w:sz w:val="24"/>
      <w:szCs w:val="20"/>
      <w:lang w:eastAsia="zh-CN"/>
    </w:rPr>
  </w:style>
  <w:style w:type="character" w:customStyle="1" w:styleId="28">
    <w:name w:val="批注框文本 Char"/>
    <w:basedOn w:val="16"/>
    <w:link w:val="10"/>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596</Words>
  <Characters>3402</Characters>
  <Lines>28</Lines>
  <Paragraphs>7</Paragraphs>
  <TotalTime>427</TotalTime>
  <ScaleCrop>false</ScaleCrop>
  <LinksUpToDate>false</LinksUpToDate>
  <CharactersWithSpaces>3991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2021-08-13T01:06:00Z</dcterms:created>
  <dc:creator>Administrator</dc:creator>
  <cp:lastModifiedBy>不努力就去死</cp:lastModifiedBy>
  <cp:lastPrinted>2021-08-27T03:12:00Z</cp:lastPrinted>
  <dcterms:modified xsi:type="dcterms:W3CDTF">2022-03-03T00:50:40Z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1254A993DBAF4C83B767FEBF3CD8FDDA</vt:lpwstr>
  </property>
</Properties>
</file>